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line="576" w:lineRule="auto"/>
        <w:ind w:firstLine="0" w:firstLineChars="0"/>
        <w:jc w:val="center"/>
        <w:textAlignment w:val="baseline"/>
        <w:outlineLvl w:val="0"/>
        <w:rPr>
          <w:rFonts w:ascii="黑体" w:hAnsi="黑体" w:eastAsia="黑体" w:cs="Times New Roman"/>
          <w:kern w:val="44"/>
          <w:sz w:val="36"/>
          <w:szCs w:val="20"/>
        </w:rPr>
      </w:pPr>
    </w:p>
    <w:p>
      <w:pPr>
        <w:keepNext/>
        <w:keepLines/>
        <w:widowControl w:val="0"/>
        <w:spacing w:line="576" w:lineRule="auto"/>
        <w:ind w:firstLine="0" w:firstLineChars="0"/>
        <w:jc w:val="center"/>
        <w:textAlignment w:val="baseline"/>
        <w:outlineLvl w:val="0"/>
        <w:rPr>
          <w:rFonts w:ascii="黑体" w:hAnsi="黑体" w:eastAsia="黑体" w:cs="Times New Roman"/>
          <w:kern w:val="44"/>
          <w:sz w:val="36"/>
          <w:szCs w:val="20"/>
        </w:rPr>
      </w:pPr>
      <w:r>
        <w:rPr>
          <w:rFonts w:ascii="Times New Roman" w:hAnsi="Times New Roman" w:eastAsia="宋体" w:cs="Times New Roman"/>
          <w:b/>
          <w:kern w:val="44"/>
          <w:sz w:val="44"/>
          <w:szCs w:val="20"/>
        </w:rPr>
        <mc:AlternateContent>
          <mc:Choice Requires="wps">
            <w:drawing>
              <wp:anchor distT="0" distB="0" distL="114300" distR="114300" simplePos="0" relativeHeight="251660288" behindDoc="0" locked="0" layoutInCell="1" allowOverlap="1">
                <wp:simplePos x="0" y="0"/>
                <wp:positionH relativeFrom="margin">
                  <wp:posOffset>4656455</wp:posOffset>
                </wp:positionH>
                <wp:positionV relativeFrom="paragraph">
                  <wp:posOffset>86995</wp:posOffset>
                </wp:positionV>
                <wp:extent cx="699770" cy="520065"/>
                <wp:effectExtent l="0" t="0" r="5080" b="1333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699770" cy="520065"/>
                        </a:xfrm>
                        <a:prstGeom prst="rect">
                          <a:avLst/>
                        </a:prstGeom>
                        <a:solidFill>
                          <a:srgbClr val="FFFFFF"/>
                        </a:solidFill>
                        <a:ln>
                          <a:noFill/>
                        </a:ln>
                        <a:effectLst/>
                      </wps:spPr>
                      <wps:txbx>
                        <w:txbxContent>
                          <w:p>
                            <w:pPr>
                              <w:ind w:firstLine="0" w:firstLineChars="0"/>
                              <w:jc w:val="right"/>
                              <w:rPr>
                                <w:rFonts w:ascii="黑体" w:hAnsi="黑体" w:eastAsia="黑体"/>
                                <w:sz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6.65pt;margin-top:6.85pt;height:40.95pt;width:55.1pt;mso-position-horizontal-relative:margin;z-index:251660288;mso-width-relative:page;mso-height-relative:page;" fillcolor="#FFFFFF" filled="t" stroked="f" coordsize="21600,21600" o:gfxdata="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4RlUNcAAAAJAQAADwAAAAAAAAABACAAAAAiAAAAZHJzL2Rvd25yZXYueG1sUEsB&#10;AhQAFAAAAAgAh07iQB3Z9DEvAgAATQQAAA4AAAAAAAAAAQAgAAAAJgEAAGRycy9lMm9Eb2MueG1s&#10;UEsFBgAAAAAGAAYAWQEAAMcFAAAAAA==&#10;">
                <v:fill on="t" focussize="0,0"/>
                <v:stroke on="f"/>
                <v:imagedata o:title=""/>
                <o:lock v:ext="edit" aspectratio="f"/>
                <v:textbox>
                  <w:txbxContent>
                    <w:p>
                      <w:pPr>
                        <w:ind w:firstLine="0" w:firstLineChars="0"/>
                        <w:jc w:val="right"/>
                        <w:rPr>
                          <w:rFonts w:ascii="黑体" w:hAnsi="黑体" w:eastAsia="黑体"/>
                          <w:sz w:val="32"/>
                        </w:rPr>
                      </w:pPr>
                    </w:p>
                  </w:txbxContent>
                </v:textbox>
              </v:shape>
            </w:pict>
          </mc:Fallback>
        </mc:AlternateContent>
      </w:r>
    </w:p>
    <w:p>
      <w:pPr>
        <w:keepNext/>
        <w:keepLines/>
        <w:widowControl w:val="0"/>
        <w:spacing w:line="576" w:lineRule="auto"/>
        <w:ind w:right="1260" w:rightChars="450" w:firstLine="0" w:firstLineChars="0"/>
        <w:jc w:val="right"/>
        <w:textAlignment w:val="baseline"/>
        <w:outlineLvl w:val="0"/>
        <w:rPr>
          <w:rFonts w:ascii="黑体" w:hAnsi="黑体" w:eastAsia="黑体" w:cs="Times New Roman"/>
          <w:kern w:val="44"/>
          <w:sz w:val="32"/>
          <w:szCs w:val="32"/>
        </w:rPr>
      </w:pPr>
      <w:r>
        <w:rPr>
          <w:rFonts w:ascii="Times New Roman" w:hAnsi="Times New Roman" w:eastAsia="宋体" w:cs="Times New Roman"/>
          <w:b/>
          <w:kern w:val="44"/>
          <w:sz w:val="44"/>
          <w:szCs w:val="20"/>
        </w:rPr>
        <mc:AlternateContent>
          <mc:Choice Requires="wps">
            <w:drawing>
              <wp:anchor distT="0" distB="0" distL="114300" distR="114300" simplePos="0" relativeHeight="251661312" behindDoc="0" locked="0" layoutInCell="1" allowOverlap="1">
                <wp:simplePos x="0" y="0"/>
                <wp:positionH relativeFrom="margin">
                  <wp:posOffset>1560830</wp:posOffset>
                </wp:positionH>
                <wp:positionV relativeFrom="paragraph">
                  <wp:posOffset>334645</wp:posOffset>
                </wp:positionV>
                <wp:extent cx="2134235" cy="488315"/>
                <wp:effectExtent l="0" t="0" r="18415" b="698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409825" cy="488315"/>
                        </a:xfrm>
                        <a:prstGeom prst="rect">
                          <a:avLst/>
                        </a:prstGeom>
                        <a:solidFill>
                          <a:srgbClr val="FFFFFF"/>
                        </a:solidFill>
                        <a:ln>
                          <a:noFill/>
                        </a:ln>
                        <a:effectLst/>
                      </wps:spPr>
                      <wps:txbx>
                        <w:txbxContent>
                          <w:p>
                            <w:pPr>
                              <w:ind w:firstLine="0" w:firstLineChars="0"/>
                              <w:jc w:val="center"/>
                              <w:rPr>
                                <w:rFonts w:hAnsi="宋体" w:cs="Times New Roman"/>
                                <w:sz w:val="30"/>
                                <w:szCs w:val="30"/>
                              </w:rPr>
                            </w:pPr>
                            <w:r>
                              <w:rPr>
                                <w:rFonts w:hint="eastAsia" w:hAnsi="宋体" w:cs="Times New Roman"/>
                                <w:sz w:val="30"/>
                                <w:szCs w:val="30"/>
                              </w:rPr>
                              <w:t>嘉发改</w:t>
                            </w:r>
                            <w:r>
                              <w:rPr>
                                <w:rFonts w:hint="eastAsia" w:hAnsi="宋体" w:cs="Times New Roman"/>
                                <w:sz w:val="30"/>
                                <w:szCs w:val="30"/>
                                <w:lang w:val="en-US" w:eastAsia="zh-CN"/>
                              </w:rPr>
                              <w:t>规</w:t>
                            </w:r>
                            <w:r>
                              <w:rPr>
                                <w:rFonts w:hint="eastAsia" w:hAnsi="宋体" w:cs="Times New Roman"/>
                                <w:sz w:val="30"/>
                                <w:szCs w:val="30"/>
                              </w:rPr>
                              <w:t>﹝20</w:t>
                            </w:r>
                            <w:r>
                              <w:rPr>
                                <w:rFonts w:hAnsi="宋体" w:cs="Times New Roman"/>
                                <w:sz w:val="30"/>
                                <w:szCs w:val="30"/>
                              </w:rPr>
                              <w:t>2</w:t>
                            </w:r>
                            <w:r>
                              <w:rPr>
                                <w:rFonts w:hint="eastAsia" w:hAnsi="宋体" w:cs="Times New Roman"/>
                                <w:sz w:val="30"/>
                                <w:szCs w:val="30"/>
                                <w:lang w:val="en-US" w:eastAsia="zh-CN"/>
                              </w:rPr>
                              <w:t>3</w:t>
                            </w:r>
                            <w:r>
                              <w:rPr>
                                <w:rFonts w:hint="eastAsia" w:hAnsi="宋体" w:cs="Times New Roman"/>
                                <w:sz w:val="30"/>
                                <w:szCs w:val="30"/>
                              </w:rPr>
                              <w:t>﹞</w:t>
                            </w:r>
                            <w:r>
                              <w:rPr>
                                <w:rFonts w:hint="eastAsia" w:hAnsi="宋体" w:cs="Times New Roman"/>
                                <w:sz w:val="30"/>
                                <w:szCs w:val="30"/>
                                <w:lang w:val="en-US" w:eastAsia="zh-CN"/>
                              </w:rPr>
                              <w:t>2</w:t>
                            </w:r>
                            <w:r>
                              <w:rPr>
                                <w:rFonts w:hint="eastAsia" w:hAnsi="宋体" w:cs="Times New Roman"/>
                                <w:sz w:val="30"/>
                                <w:szCs w:val="30"/>
                              </w:rPr>
                              <w:t>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9pt;margin-top:26.35pt;height:38.45pt;width:168.05pt;mso-position-horizontal-relative:margin;z-index:251661312;mso-width-relative:page;mso-height-relative:page;" fillcolor="#FFFFFF" filled="t" stroked="f" coordsize="21600,21600" o:gfxdata="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qRfTzYAAAACgEAAA8AAAAAAAAAAQAgAAAAIgAAAGRycy9kb3ducmV2Lnht&#10;bFBLAQIUABQAAAAIAIdO4kA6vFkOMgIAAE4EAAAOAAAAAAAAAAEAIAAAACcBAABkcnMvZTJvRG9j&#10;LnhtbFBLBQYAAAAABgAGAFkBAADLBQAAAAA=&#10;">
                <v:fill on="t" focussize="0,0"/>
                <v:stroke on="f"/>
                <v:imagedata o:title=""/>
                <o:lock v:ext="edit" aspectratio="f"/>
                <v:textbox>
                  <w:txbxContent>
                    <w:p>
                      <w:pPr>
                        <w:ind w:firstLine="0" w:firstLineChars="0"/>
                        <w:jc w:val="center"/>
                        <w:rPr>
                          <w:rFonts w:hAnsi="宋体" w:cs="Times New Roman"/>
                          <w:sz w:val="30"/>
                          <w:szCs w:val="30"/>
                        </w:rPr>
                      </w:pPr>
                      <w:r>
                        <w:rPr>
                          <w:rFonts w:hint="eastAsia" w:hAnsi="宋体" w:cs="Times New Roman"/>
                          <w:sz w:val="30"/>
                          <w:szCs w:val="30"/>
                        </w:rPr>
                        <w:t>嘉发改</w:t>
                      </w:r>
                      <w:r>
                        <w:rPr>
                          <w:rFonts w:hint="eastAsia" w:hAnsi="宋体" w:cs="Times New Roman"/>
                          <w:sz w:val="30"/>
                          <w:szCs w:val="30"/>
                          <w:lang w:val="en-US" w:eastAsia="zh-CN"/>
                        </w:rPr>
                        <w:t>规</w:t>
                      </w:r>
                      <w:r>
                        <w:rPr>
                          <w:rFonts w:hint="eastAsia" w:hAnsi="宋体" w:cs="Times New Roman"/>
                          <w:sz w:val="30"/>
                          <w:szCs w:val="30"/>
                        </w:rPr>
                        <w:t>﹝20</w:t>
                      </w:r>
                      <w:r>
                        <w:rPr>
                          <w:rFonts w:hAnsi="宋体" w:cs="Times New Roman"/>
                          <w:sz w:val="30"/>
                          <w:szCs w:val="30"/>
                        </w:rPr>
                        <w:t>2</w:t>
                      </w:r>
                      <w:r>
                        <w:rPr>
                          <w:rFonts w:hint="eastAsia" w:hAnsi="宋体" w:cs="Times New Roman"/>
                          <w:sz w:val="30"/>
                          <w:szCs w:val="30"/>
                          <w:lang w:val="en-US" w:eastAsia="zh-CN"/>
                        </w:rPr>
                        <w:t>3</w:t>
                      </w:r>
                      <w:r>
                        <w:rPr>
                          <w:rFonts w:hint="eastAsia" w:hAnsi="宋体" w:cs="Times New Roman"/>
                          <w:sz w:val="30"/>
                          <w:szCs w:val="30"/>
                        </w:rPr>
                        <w:t>﹞</w:t>
                      </w:r>
                      <w:r>
                        <w:rPr>
                          <w:rFonts w:hint="eastAsia" w:hAnsi="宋体" w:cs="Times New Roman"/>
                          <w:sz w:val="30"/>
                          <w:szCs w:val="30"/>
                          <w:lang w:val="en-US" w:eastAsia="zh-CN"/>
                        </w:rPr>
                        <w:t>2</w:t>
                      </w:r>
                      <w:r>
                        <w:rPr>
                          <w:rFonts w:hint="eastAsia" w:hAnsi="宋体" w:cs="Times New Roman"/>
                          <w:sz w:val="30"/>
                          <w:szCs w:val="30"/>
                        </w:rPr>
                        <w:t>号</w:t>
                      </w:r>
                    </w:p>
                  </w:txbxContent>
                </v:textbox>
              </v:shape>
            </w:pict>
          </mc:Fallback>
        </mc:AlternateContent>
      </w:r>
    </w:p>
    <w:p>
      <w:pPr>
        <w:widowControl w:val="0"/>
        <w:ind w:firstLine="0" w:firstLineChars="0"/>
        <w:rPr>
          <w:rFonts w:ascii="黑体" w:hAnsi="Times New Roman" w:eastAsia="黑体" w:cs="Times New Roman"/>
          <w:sz w:val="36"/>
          <w:szCs w:val="36"/>
        </w:rPr>
      </w:pPr>
    </w:p>
    <w:p>
      <w:pPr>
        <w:keepNext w:val="0"/>
        <w:keepLines w:val="0"/>
        <w:pageBreakBefore w:val="0"/>
        <w:widowControl/>
        <w:kinsoku/>
        <w:wordWrap/>
        <w:overflowPunct/>
        <w:topLinePunct w:val="0"/>
        <w:autoSpaceDE/>
        <w:autoSpaceDN/>
        <w:bidi w:val="0"/>
        <w:adjustRightInd/>
        <w:snapToGrid/>
        <w:spacing w:before="95" w:beforeLines="3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关于印发《嘉定区加强集成创新</w:t>
      </w:r>
    </w:p>
    <w:p>
      <w:pPr>
        <w:keepNext w:val="0"/>
        <w:keepLines w:val="0"/>
        <w:pageBreakBefore w:val="0"/>
        <w:widowControl/>
        <w:kinsoku/>
        <w:wordWrap/>
        <w:overflowPunct/>
        <w:topLinePunct w:val="0"/>
        <w:autoSpaceDE/>
        <w:autoSpaceDN/>
        <w:bidi w:val="0"/>
        <w:adjustRightInd/>
        <w:snapToGrid/>
        <w:spacing w:before="95" w:beforeLines="3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持续优化营商环境行动方案》的通知</w:t>
      </w:r>
    </w:p>
    <w:p>
      <w:pPr>
        <w:ind w:firstLine="600" w:firstLineChars="200"/>
        <w:rPr>
          <w:rFonts w:ascii="仿宋_GB2312" w:hAnsi="仿宋_GB2312" w:eastAsia="仿宋_GB2312" w:cs="仿宋_GB2312"/>
          <w:sz w:val="30"/>
          <w:szCs w:val="30"/>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各镇人民政府，各相关委、办、局、街道办事处，嘉定工业区、菊园新区管委会：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经区政府同意，现将《嘉定区加强集成创新持续优化营商环境行动方案》予以印发，请认真按照执行。</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上海市嘉定区发展和改革委员会</w:t>
      </w:r>
    </w:p>
    <w:p>
      <w:pPr>
        <w:ind w:firstLine="4960" w:firstLineChars="1550"/>
        <w:rPr>
          <w:rFonts w:ascii="仿宋_GB2312" w:hAnsi="仿宋_GB2312" w:eastAsia="仿宋_GB2312" w:cs="仿宋_GB2312"/>
          <w:sz w:val="32"/>
          <w:szCs w:val="32"/>
        </w:rPr>
      </w:pPr>
      <w:r>
        <w:rPr>
          <w:rFonts w:hint="eastAsia" w:ascii="仿宋_GB2312" w:hAnsi="仿宋_GB2312" w:eastAsia="仿宋_GB2312" w:cs="仿宋_GB2312"/>
          <w:sz w:val="32"/>
          <w:szCs w:val="32"/>
        </w:rPr>
        <w:t>2023年2月22日</w:t>
      </w:r>
    </w:p>
    <w:p>
      <w:pPr>
        <w:widowControl w:val="0"/>
        <w:wordWrap w:val="0"/>
        <w:spacing w:line="600" w:lineRule="exact"/>
        <w:ind w:firstLine="0" w:firstLineChars="0"/>
        <w:jc w:val="right"/>
        <w:rPr>
          <w:rFonts w:hAnsi="宋体" w:cs="宋体"/>
          <w:kern w:val="0"/>
          <w:sz w:val="32"/>
          <w:szCs w:val="32"/>
        </w:rPr>
      </w:pPr>
    </w:p>
    <w:p>
      <w:pPr>
        <w:widowControl w:val="0"/>
        <w:wordWrap/>
        <w:spacing w:line="600" w:lineRule="exact"/>
        <w:ind w:firstLine="0" w:firstLineChars="0"/>
        <w:jc w:val="right"/>
        <w:rPr>
          <w:rFonts w:hAnsi="宋体" w:cs="宋体"/>
          <w:kern w:val="0"/>
          <w:sz w:val="32"/>
          <w:szCs w:val="32"/>
        </w:rPr>
      </w:pPr>
    </w:p>
    <w:p>
      <w:pPr>
        <w:widowControl w:val="0"/>
        <w:wordWrap/>
        <w:spacing w:line="600" w:lineRule="exact"/>
        <w:ind w:firstLine="0" w:firstLineChars="0"/>
        <w:jc w:val="right"/>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2"/>
        <w:kinsoku w:val="0"/>
        <w:overflowPunct w:val="0"/>
        <w:autoSpaceDE w:val="0"/>
        <w:autoSpaceDN w:val="0"/>
        <w:adjustRightInd w:val="0"/>
        <w:snapToGrid w:val="0"/>
        <w:spacing w:after="0"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嘉定区加强集成创新</w:t>
      </w:r>
    </w:p>
    <w:p>
      <w:pPr>
        <w:pStyle w:val="2"/>
        <w:kinsoku w:val="0"/>
        <w:overflowPunct w:val="0"/>
        <w:autoSpaceDE w:val="0"/>
        <w:autoSpaceDN w:val="0"/>
        <w:adjustRightInd w:val="0"/>
        <w:snapToGrid w:val="0"/>
        <w:spacing w:after="0"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持续优化营商环境行动方案</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14"/>
          <w:rFonts w:hint="eastAsia" w:ascii="仿宋_GB2312" w:hAnsi="仿宋_GB2312" w:eastAsia="仿宋_GB2312" w:cs="仿宋_GB2312"/>
          <w:b w:val="0"/>
          <w:bCs w:val="0"/>
          <w:i w:val="0"/>
          <w:iCs w:val="0"/>
          <w:caps w:val="0"/>
          <w:color w:val="424242"/>
          <w:spacing w:val="0"/>
          <w:sz w:val="32"/>
          <w:szCs w:val="32"/>
          <w:lang w:val="en-US" w:eastAsia="zh-CN"/>
        </w:rPr>
      </w:pPr>
    </w:p>
    <w:p/>
    <w:p>
      <w:pPr>
        <w:pStyle w:val="2"/>
        <w:keepNext w:val="0"/>
        <w:keepLines w:val="0"/>
        <w:pageBreakBefore w:val="0"/>
        <w:widowControl w:val="0"/>
        <w:kinsoku/>
        <w:wordWrap/>
        <w:overflowPunct/>
        <w:topLinePunct w:val="0"/>
        <w:autoSpaceDE w:val="0"/>
        <w:autoSpaceDN w:val="0"/>
        <w:bidi w:val="0"/>
        <w:adjustRightInd w:val="0"/>
        <w:snapToGrid w:val="0"/>
        <w:spacing w:after="0"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优化营商环境是党中央、国务院根据新形势新发展要求作出的重大决策。为进一步加强集成创新，持续优化营商环境，根据《上海市加强集成创新持续优化营商环境行动方案》（沪府办规〔2023〕1号）,制定本方案。</w:t>
      </w:r>
    </w:p>
    <w:p>
      <w:pPr>
        <w:pStyle w:val="2"/>
        <w:keepNext w:val="0"/>
        <w:keepLines w:val="0"/>
        <w:pageBreakBefore w:val="0"/>
        <w:widowControl w:val="0"/>
        <w:kinsoku/>
        <w:wordWrap/>
        <w:overflowPunct/>
        <w:topLinePunct w:val="0"/>
        <w:autoSpaceDE w:val="0"/>
        <w:autoSpaceDN w:val="0"/>
        <w:bidi w:val="0"/>
        <w:adjustRightInd w:val="0"/>
        <w:snapToGrid w:val="0"/>
        <w:spacing w:after="0" w:line="600" w:lineRule="exact"/>
        <w:ind w:left="0" w:leftChars="0"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一、总体要求</w:t>
      </w:r>
    </w:p>
    <w:p>
      <w:pPr>
        <w:pStyle w:val="2"/>
        <w:keepNext w:val="0"/>
        <w:keepLines w:val="0"/>
        <w:pageBreakBefore w:val="0"/>
        <w:widowControl w:val="0"/>
        <w:kinsoku/>
        <w:wordWrap/>
        <w:overflowPunct/>
        <w:topLinePunct w:val="0"/>
        <w:autoSpaceDE w:val="0"/>
        <w:autoSpaceDN w:val="0"/>
        <w:bidi w:val="0"/>
        <w:adjustRightInd w:val="0"/>
        <w:snapToGrid w:val="0"/>
        <w:spacing w:after="0"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以习近平新时代中国特色社会主义思想为指导，全面贯彻落实党的二十大精神，完整、准确、全面贯彻新发展理念。对标最高标准、最高水平，坚持市场化、法治化、国际化原则，以市场主体获得感为评价标准，践行“有求必应、无事不扰”服务理念，持续发力打造贸易投资最便利、行政效率最</w:t>
      </w:r>
      <w:r>
        <w:rPr>
          <w:rFonts w:hint="eastAsia" w:ascii="仿宋_GB2312" w:eastAsia="仿宋_GB2312"/>
          <w:sz w:val="32"/>
          <w:szCs w:val="32"/>
          <w:lang w:val="en-US" w:eastAsia="zh-CN"/>
        </w:rPr>
        <w:t>高效</w:t>
      </w:r>
      <w:r>
        <w:rPr>
          <w:rFonts w:hint="eastAsia" w:ascii="仿宋_GB2312" w:eastAsia="仿宋_GB2312"/>
          <w:sz w:val="32"/>
          <w:szCs w:val="32"/>
        </w:rPr>
        <w:t>、政府服务最规范、法治体系最完善的国际一流营商环境，大力提升嘉定城市能级和核心竞争力。</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（一）深入打造资源共享的要素环境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hAnsi="仿宋_GB2312" w:eastAsia="仿宋_GB2312" w:cs="仿宋_GB2312"/>
          <w:b/>
          <w:bCs/>
          <w:sz w:val="32"/>
          <w:szCs w:val="32"/>
        </w:rPr>
        <w:t>1、水电气网报装更快捷。</w:t>
      </w:r>
      <w:r>
        <w:rPr>
          <w:rFonts w:hint="eastAsia" w:ascii="仿宋_GB2312" w:hAnsi="仿宋_GB2312" w:eastAsia="仿宋_GB2312" w:cs="仿宋_GB2312"/>
          <w:sz w:val="32"/>
          <w:szCs w:val="32"/>
        </w:rPr>
        <w:t>完善水、电、气、网（宽带）联合报装机制，实现一表申请、一口受理、联合踏勘、一站服务、一窗咨询。严格执行建筑区划红线外用户水电气接入“零负担”政策，严禁变相增加企业负担。公布水、电、气、网（宽带）报装全程服务时限，实现获得用电、获得用水、获得用气和互联网连接服务满意率98%以上。推行供电、供水、供气及互联网服务可靠性管制计划，建立和完善获得用电、用水和互联网可靠性考核评价机制，建立服务中断或供给不足等补偿或财务惩罚机制。定期公布市政公用基础设施供应质量、可靠性和可持续性等关键指标数据。完善水、电、气、网（宽带）报装独立投诉机制，主动加强企业投诉及办理信息公开。严格落实费率调整提前预通知机制。拓展燃气小型标准化接入适用范围，逐步降低接入工程费用。探索建立囊括不同公用设施管线的共享数据库和地理信息系统。优化占掘路审批操作流程，推行并联审批、限时办结，在低风险区域探索占掘路</w:t>
      </w:r>
      <w:r>
        <w:rPr>
          <w:rFonts w:hint="eastAsia" w:ascii="仿宋_GB2312" w:hAnsi="仿宋_GB2312" w:eastAsia="仿宋_GB2312" w:cs="仿宋_GB2312"/>
          <w:sz w:val="32"/>
          <w:szCs w:val="32"/>
          <w:lang w:val="en-US" w:eastAsia="zh-CN"/>
        </w:rPr>
        <w:t>快速</w:t>
      </w:r>
      <w:r>
        <w:rPr>
          <w:rFonts w:hint="eastAsia" w:ascii="仿宋_GB2312" w:hAnsi="仿宋_GB2312" w:eastAsia="仿宋_GB2312" w:cs="仿宋_GB2312"/>
          <w:sz w:val="32"/>
          <w:szCs w:val="32"/>
        </w:rPr>
        <w:t>审批机制。</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2、金融服务支持更给力。</w:t>
      </w:r>
      <w:r>
        <w:rPr>
          <w:rFonts w:hint="eastAsia" w:ascii="仿宋_GB2312" w:hAnsi="仿宋_GB2312" w:eastAsia="仿宋_GB2312" w:cs="仿宋_GB2312"/>
          <w:sz w:val="32"/>
          <w:szCs w:val="32"/>
        </w:rPr>
        <w:t>配合落实担保交易、电子支付等领域政策法规以及绿色融资领域相关监管规则。推进无缝续贷增量扩面，完善金融服务小微企业“四贷”长效机制，持续深化加大小微信贷风险补偿力度、实施中小微企业“首贷户”贷款贴息贴费、加大政府性融资担保支持力度、建立普惠金融顾问制度等政策。改进本区政府性融资担保机构功能定位、考核导向，将目前的1.5%-3%的担保费率降低至1%以下。持续优化“政企银”协同机制，优化企业法人公共信用电子证照在区产融合作服务平台的调用和查询，促进银企信息对称，切实解决中小微企业融资难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3、劳动就业效能更显著。</w:t>
      </w:r>
      <w:r>
        <w:rPr>
          <w:rFonts w:hint="eastAsia" w:ascii="仿宋_GB2312" w:hAnsi="仿宋_GB2312" w:eastAsia="仿宋_GB2312" w:cs="仿宋_GB2312"/>
          <w:sz w:val="32"/>
          <w:szCs w:val="32"/>
        </w:rPr>
        <w:t>加强与劳务输出地就业服务部门、区内和区外职业教育院校、区内优质企业合作，规范、有序开展技能型人才引进。</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企业招用员工（稳就业）“一件事”和就业参保登记一体化改革。依托全市统一的公共就业服务数字化平台，优化就业服务、求职援助、培训服务、就业补贴等公共服务。完善劳动投诉申诉处理、争议解决等工作机制，提升政策咨询、行政指导、纠纷调解等公共服务效能。加大劳动监察执法力度，保障劳动者合法合规报酬权益。推动和谐劳动关系创建，完善政府部门、工会、企业共同参与的协商协调机制。全面落实企业职工培训政策措施，提升劳动者技能。推进企业吸纳就业社会保险补贴“直补快办”，支持企业更多吸纳重点群体就业。加强灵活就业人员权益保护，深入实施新就业形态就业人员职业伤害保障试点，逐步提高灵活就业人员获得失业、医疗、养老等社会保障的覆盖面。</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（二）深入打造高效便捷的政务环境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4、政策服务更精准。</w:t>
      </w:r>
      <w:r>
        <w:rPr>
          <w:rFonts w:hint="eastAsia" w:ascii="仿宋_GB2312" w:hAnsi="仿宋_GB2312" w:eastAsia="仿宋_GB2312" w:cs="仿宋_GB2312"/>
          <w:sz w:val="32"/>
          <w:szCs w:val="32"/>
        </w:rPr>
        <w:t>强化涉企政策统一发布，各部门涉企政策及时向“一网通办”和“企业服务云”归集。优化“一网通办”惠企政策专区和“企业服务云”惠企政策专栏，集中发布涉企政策要点。推进区政务服务大厅惠企政策综合窗口建设，统一受理政策咨询和办理申请。重点打造“一网优服”2.0信息化平台，开发惠企政策服务应用场景，推动实现企业便捷找政策，政府精准送服务，扎实推进各类惠企政策落地。推动各街镇、各部门、各单位开展形式多样的政策宣传解读，建立政策发布、解读、宣传三同步机制。组织重点园区对现有涉企政策进行梳理，清理已过期失效政策，完善企业政策要点知识库，编制发布政策手册系列产品。配合开展由市工商联等第三方机构主导、企业家代表、重要企业服务机构参与的涉企政策实施效果评估。</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5、企业服务更贴心。</w:t>
      </w:r>
      <w:r>
        <w:rPr>
          <w:rFonts w:hint="eastAsia" w:ascii="仿宋_GB2312" w:hAnsi="仿宋_GB2312" w:eastAsia="仿宋_GB2312" w:cs="仿宋_GB2312"/>
          <w:sz w:val="32"/>
          <w:szCs w:val="32"/>
        </w:rPr>
        <w:t>完善中小企业服务体系，拓展延伸服务队伍，发挥中小企业服务专员和志愿专家队伍作用，推动市区两级企业服务资源、系统平台与园区和楼宇对接。全面推行体系化服务企业模式，逐步实现各级园区和商务楼宇全覆盖。进一步扩大企业服务专员队伍，推动政府部门建立“代办专员”制度，持续推进“领导干部帮办+工作人员帮办”机制，建立发现问题和反馈整改闭环工作机制，对重点企业和专精特新企业实行全方位帮办服务。各有关单位下属单位参照建立线下帮办机制，实现高频事项全覆盖。落实市热线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12345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企业专席工单</w:t>
      </w:r>
      <w:r>
        <w:rPr>
          <w:rFonts w:hint="eastAsia" w:ascii="仿宋_GB2312" w:hAnsi="仿宋_GB2312" w:eastAsia="仿宋_GB2312" w:cs="仿宋_GB2312"/>
          <w:sz w:val="32"/>
          <w:szCs w:val="32"/>
        </w:rPr>
        <w:t>，加强企业诉求快速响应、高效解决。深化窗口“智能帮办”+远程“直达帮办”服务模式、“线上帮办”智能客服小申知识库。落实本市优化服务企业联席会议“三委三局”跨区迁移统筹协调机制，支持企事业各类基于自身发展的正常迁移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6、政务服务更暖心。</w:t>
      </w:r>
      <w:r>
        <w:rPr>
          <w:rFonts w:hint="eastAsia" w:ascii="仿宋_GB2312" w:hAnsi="仿宋_GB2312" w:eastAsia="仿宋_GB2312" w:cs="仿宋_GB2312"/>
          <w:sz w:val="32"/>
          <w:szCs w:val="32"/>
        </w:rPr>
        <w:t>落实市级部门要求，优化在线为企帮办服务，高频企业服务事项开通“专业人工帮办”，实现1分钟响应，90%解决率，“12345”三方通话直接转业务部门专业人员接听。优化区级涉企事项线上线下办事流程，推动落实智能预填、智能预审、智能审批等功能。进一步推进政务服务线上线下标准统一、服务同质，推动大厅端、电脑端、移动端、自助端四端联动、功能升级。推进企业和个人高频事项入驻“一网通办”统一自助终端。打造随申办“企业云”移动端服务，为企业提供事项办理、信息查询、惠企政策发布、利企项目申报等服务内容。指导和监督“免申即享”工作中财政资金依法合规兑现拨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积极配合相关部门建立免申即享项目清单，依托“一网通办”平台推进智能化服务。创新虚拟政务服务窗口办理，实现与实体大厅同质办理体验，将实体大厅窗口向园区延伸。</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（三）深入打造公平</w:t>
      </w:r>
      <w:r>
        <w:rPr>
          <w:rFonts w:hint="eastAsia" w:ascii="楷体_GB2312" w:hAnsi="楷体_GB2312" w:eastAsia="楷体_GB2312" w:cs="楷体_GB2312"/>
          <w:sz w:val="32"/>
          <w:szCs w:val="32"/>
          <w:lang w:val="en-US" w:eastAsia="zh-CN"/>
        </w:rPr>
        <w:t>有序</w:t>
      </w:r>
      <w:r>
        <w:rPr>
          <w:rFonts w:hint="eastAsia" w:ascii="楷体_GB2312" w:hAnsi="楷体_GB2312" w:eastAsia="楷体_GB2312" w:cs="楷体_GB2312"/>
          <w:sz w:val="32"/>
          <w:szCs w:val="32"/>
        </w:rPr>
        <w:t>的市场环境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7、准入退出更便利。</w:t>
      </w:r>
      <w:r>
        <w:rPr>
          <w:rFonts w:hint="eastAsia" w:ascii="仿宋_GB2312" w:hAnsi="仿宋_GB2312" w:eastAsia="仿宋_GB2312" w:cs="仿宋_GB2312"/>
          <w:sz w:val="32"/>
          <w:szCs w:val="32"/>
        </w:rPr>
        <w:t>在全市统一的企业登记数字化服务平台完善的基础上，全面拓展市场主体设立、变更、注销全周期无纸全程电子化登记覆盖范围。依托电子营业执照系统，推行“市场主体身份码”，与“随申办”企业云融合应用。全面推行企业名称申报承诺制，提高企业名称一次核准率。完善企业名称争议处理机制。优化企业经营范围规范表述数据库，完善全市企业住所标准化登记信息库，简化住所登记材料。深入推进企业高频证照变更联办“一件事”，优化证照变更与企业变更登记全程网办系统功能。探索在相关行业领域企业登记流程中嵌入环境许可告知性提示。建立健全歇业备案制度，加强市场监管、税务、社保等部门间信息共享，推行歇业备案“一口办理”。简化市场主体准营手续,推进酒类商品经营许可整合纳入食品经营许可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8、获取场所更好办。</w:t>
      </w:r>
      <w:r>
        <w:rPr>
          <w:rFonts w:hint="eastAsia" w:ascii="仿宋_GB2312" w:hAnsi="仿宋_GB2312" w:eastAsia="仿宋_GB2312" w:cs="仿宋_GB2312"/>
          <w:sz w:val="32"/>
          <w:szCs w:val="32"/>
        </w:rPr>
        <w:t>建立企业获取经营场所领域改革绩效评估制度，巩固提升一站式施工许可、综合竣工验收、区域评估、用地清单制、多测合一、验登合一、中介服务等改革成效。按照全领域、全覆盖、全流程要求强化“一个系统”功能，全面归并单部门事项办理入口，建立跨部门信息共享交换、智能审核比对、协同操作等机制，实现工程建设项目全程网办。全面推行“桩基先行”，建设项目设计方案批复后可单独办理桩基施工许可。将“分期竣工验收”范围进一步扩展至本区疫情防控等应急工程、重大产业项目、公共服务设施等项目。落实审批审查中心向“审批不出中心”模式升级。优化规划、土地等领域审批管理流程，推出更多“好办”“快办”事项。加强房地产登记信息公开和信息共享，提供购房条件等信息自助查询服务。严格落实房产登记当场缴税当场领证或先领证后网上缴税，税费和登记费线上一次收缴、后台自动清分入账（库）改革举措。</w:t>
      </w:r>
      <w:r>
        <w:rPr>
          <w:rFonts w:hint="eastAsia" w:ascii="仿宋_GB2312" w:hAnsi="仿宋_GB2312" w:eastAsia="仿宋_GB2312" w:cs="仿宋_GB2312"/>
          <w:sz w:val="32"/>
          <w:szCs w:val="32"/>
          <w:lang w:val="en-US" w:eastAsia="zh-CN"/>
        </w:rPr>
        <w:t>落实市</w:t>
      </w:r>
      <w:r>
        <w:rPr>
          <w:rFonts w:hint="eastAsia" w:ascii="仿宋_GB2312" w:hAnsi="仿宋_GB2312" w:eastAsia="仿宋_GB2312" w:cs="仿宋_GB2312"/>
          <w:sz w:val="32"/>
          <w:szCs w:val="32"/>
        </w:rPr>
        <w:t>中等环境风险建筑项目操作指引，优化环境风险评估程序。以特色产业园区为重点试点建设经营场所资源信息平台，为企业落户提供便利化服务。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9、证明事项更简化。</w:t>
      </w:r>
      <w:r>
        <w:rPr>
          <w:rFonts w:hint="eastAsia" w:ascii="仿宋_GB2312" w:hAnsi="仿宋_GB2312" w:eastAsia="仿宋_GB2312" w:cs="仿宋_GB2312"/>
          <w:sz w:val="32"/>
          <w:szCs w:val="32"/>
        </w:rPr>
        <w:t>持续推进落实证明事项告知承诺制，强化政府部门间数据共享，最大限度便企利民。深入落实证明事项告知承诺制适用对象事先信用核查。依托上海嘉定信用子频道和区行政服务中心综合窗口畅通线上线下服务渠道，做好信用信息查询、异议处理、信用修复等服务。加强告知承诺事中事后核查，根据证明事项特点实行分类核查，对无法通过数据共享核查相关证明事项信息的，行政机关可采取上门调查、实地核查等方式进行核验。进一步完善虚假承诺信用惩戒机制，对作出不实承诺的，依法终止办理、责令限期整改、撤销行政决定或者予以行政处罚，</w:t>
      </w:r>
      <w:r>
        <w:rPr>
          <w:rFonts w:hint="eastAsia" w:ascii="仿宋_GB2312" w:hAnsi="仿宋_GB2312" w:eastAsia="仿宋_GB2312" w:cs="仿宋_GB2312"/>
          <w:spacing w:val="-6"/>
          <w:sz w:val="32"/>
          <w:szCs w:val="32"/>
        </w:rPr>
        <w:t>并纳入信用记录。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10、跨境贸易更优化。</w:t>
      </w:r>
      <w:r>
        <w:rPr>
          <w:rFonts w:hint="eastAsia" w:ascii="仿宋_GB2312" w:hAnsi="仿宋_GB2312" w:eastAsia="仿宋_GB2312" w:cs="仿宋_GB2312"/>
          <w:sz w:val="32"/>
          <w:szCs w:val="32"/>
        </w:rPr>
        <w:t>扩大实施进口商品第三方采信检验模式。加大海关认证企业培育和服务力度，落实好AEO企业通关便利措施。深化进口关税配额联网核查及相应货物无纸化通关试点。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11、税费缴纳更清透。</w:t>
      </w:r>
      <w:r>
        <w:rPr>
          <w:rFonts w:hint="eastAsia" w:ascii="仿宋_GB2312" w:hAnsi="仿宋_GB2312" w:eastAsia="仿宋_GB2312" w:cs="仿宋_GB2312"/>
          <w:sz w:val="32"/>
          <w:szCs w:val="32"/>
        </w:rPr>
        <w:t>严格落实国家和本市各项减税降费政策，做好宣传辅导，加强效应分析，开展专项检查，坚决杜绝乱收费乱罚款乱摊派。推行“集中部署+智能应答+全程互动+送问办询评一体化”征纳互动服务模式，持续优化事前精准推送、事中智能辅导、事后服务评价纳税服务体系。不断完善税费争议解决机制，落实“问题查找-原因分析-凝聚合力-解决问题”的闭环管理模式，保护纳税人缴费人合法权益。建立完善行政事业性收费争议解决机制，保护缴费人合法权益。</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12、市场监管更高效。</w:t>
      </w:r>
      <w:r>
        <w:rPr>
          <w:rFonts w:hint="eastAsia" w:ascii="仿宋_GB2312" w:hAnsi="仿宋_GB2312" w:eastAsia="仿宋_GB2312" w:cs="仿宋_GB2312"/>
          <w:sz w:val="32"/>
          <w:szCs w:val="32"/>
        </w:rPr>
        <w:t>全面实施跨部门联合“双随机、一公开”监管，进一步扩大多部门联合监管范围和频次，完善监管方式，推动监管信息共享互认，避免多头执法、重复检查。加强企业信用风险分类结果综合运用，完善推进企业信用风险监测预警。在安全生产、食品安全、交通运输、生态环境等领域运用现代信息技术推进实施非现场监管，减少对市场主体正常生产经营活动的不必要干扰。落实综合监管改革，推进落实流程再造、制度重塑、场景应用，提高事中事后监管整体效能。</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b/>
          <w:bCs/>
          <w:sz w:val="32"/>
          <w:szCs w:val="32"/>
        </w:rPr>
      </w:pPr>
      <w:r>
        <w:rPr>
          <w:rFonts w:hint="eastAsia" w:ascii="仿宋_GB2312" w:eastAsia="仿宋_GB2312"/>
          <w:b/>
          <w:bCs/>
          <w:sz w:val="32"/>
          <w:szCs w:val="32"/>
        </w:rPr>
        <w:t>13、监管执法更规范。</w:t>
      </w:r>
      <w:r>
        <w:rPr>
          <w:rFonts w:hint="eastAsia" w:ascii="仿宋_GB2312" w:hAnsi="仿宋_GB2312" w:eastAsia="仿宋_GB2312" w:cs="仿宋_GB2312"/>
          <w:sz w:val="32"/>
          <w:szCs w:val="32"/>
        </w:rPr>
        <w:t>强化监管事项目录清单动态管理，全面提升监管透明度。严格落实行政执法三项制度，配合本市做好违反公平执法行为典型案例通报相关工作。严禁未经法定程序要求市场主体普遍停产停业，坚决杜绝“一刀切”“运动式”执法。在市场监管、城市管理、应急管理、消防安全、交通运输、</w:t>
      </w:r>
      <w:r>
        <w:rPr>
          <w:rFonts w:hint="eastAsia" w:ascii="仿宋_GB2312" w:hAnsi="仿宋_GB2312" w:eastAsia="仿宋_GB2312" w:cs="仿宋_GB2312"/>
          <w:sz w:val="32"/>
          <w:szCs w:val="32"/>
          <w:lang w:val="en-US" w:eastAsia="zh-CN"/>
        </w:rPr>
        <w:t>职业健康、</w:t>
      </w:r>
      <w:r>
        <w:rPr>
          <w:rFonts w:hint="eastAsia" w:ascii="仿宋_GB2312" w:hAnsi="仿宋_GB2312" w:eastAsia="仿宋_GB2312" w:cs="仿宋_GB2312"/>
          <w:sz w:val="32"/>
          <w:szCs w:val="32"/>
        </w:rPr>
        <w:t>生态环境等领域，制定完善执法工作指引和标准化检查表单，规范日常监管行为。督促推动各行政执法部门全面应用全市统一综合执法系统，实行“一案一码”，规范执法标准和流程。各行政执法部门严格落实各领域轻微违法行为依法不予行政处罚清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14、市场竞争更公平。</w:t>
      </w:r>
      <w:r>
        <w:rPr>
          <w:rFonts w:hint="eastAsia" w:ascii="仿宋_GB2312" w:hAnsi="仿宋_GB2312" w:eastAsia="仿宋_GB2312" w:cs="仿宋_GB2312"/>
          <w:sz w:val="32"/>
          <w:szCs w:val="32"/>
        </w:rPr>
        <w:t>优化本区公平竞争审查工作机制。配合建立健全市区两级重大政策措施公平竞争审查会审制度。组织开展制止滥用行政权力排除、限制竞争执法专项行动。研究制定重点领域公平竞争审查规则。发布经营者集中申报、横向垄断协议案件宽大制度等合规指引。进一步优化反垄断执法工作规则，做好竞争合规宣传和倡导。清理招投标、政府采购对外地企业设置的隐性门槛和壁垒。依托公共资源“一网交易”总门户和综合交易、服务、监管系统，落实交易全流程电子化、招投标领域数字证书跨区域兼容互认等要求，优化电子保函开具等功能。依托市公共资源交易平台与财政国库集中支付平台，实现税控系统对接、压减付款时间、优化电子保函开具、交易价款结算、手续费支付、电子发票开具等功能，进一步优化提升政府采购、招投标等平台功能，提升全程电子化水平提高企业便利度。持续规范行业协会商会涉企收费行为，为市场主体减轻负担。</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b/>
          <w:bCs/>
          <w:sz w:val="32"/>
          <w:szCs w:val="32"/>
        </w:rPr>
      </w:pPr>
      <w:r>
        <w:rPr>
          <w:rFonts w:hint="eastAsia" w:ascii="仿宋_GB2312" w:eastAsia="仿宋_GB2312"/>
          <w:b/>
          <w:bCs/>
          <w:sz w:val="32"/>
          <w:szCs w:val="32"/>
        </w:rPr>
        <w:t>15、信用体系更健全。</w:t>
      </w:r>
      <w:r>
        <w:rPr>
          <w:rFonts w:hint="eastAsia" w:ascii="仿宋_GB2312" w:hAnsi="仿宋_GB2312" w:eastAsia="仿宋_GB2312" w:cs="仿宋_GB2312"/>
          <w:sz w:val="32"/>
          <w:szCs w:val="32"/>
        </w:rPr>
        <w:t>落实《嘉定区全面推进信用承诺应用的实施方案》，完善信用承诺信息记录、审核、反馈、推送工作机制，依托区公共信用平台，推动将市场主体的信用承诺和履约践诺信息纳入市场主体信用记录，定期归集推送承诺及践诺信息。大力推进守信激励，积极应用信用信息、公共信用综合评价结果和公共信用报告、企业法人公共信用电子证照等信用产品，推动对守信主体采取容缺受理、简化程序、信用加分、同等条件下优先支持等激励措施。推动劳务派遣、生态环境等领域信用分类评价管理，推动重点领域实现信用监管全覆盖。健全信用修复申请转办督办、信息联动处理、修复意见反馈的常态化工作机制。加大沟通协作，推动各部门配合上海市加快建设融资信用服务平台建设，提高企业融资效率。在发改、商务、科技、公安、市场监管、税务等23个领域试行市场主体线上开具专用信用报告代替有无违法记录证明，大力推行“市场主体合规一码通”。推动各部门按照区权责清单做好“双公示”信息归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（四）深入打造公正规范的法治环境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b/>
          <w:bCs/>
          <w:sz w:val="32"/>
          <w:szCs w:val="32"/>
        </w:rPr>
      </w:pPr>
      <w:r>
        <w:rPr>
          <w:rFonts w:hint="eastAsia" w:ascii="仿宋_GB2312" w:eastAsia="仿宋_GB2312"/>
          <w:b/>
          <w:bCs/>
          <w:sz w:val="32"/>
          <w:szCs w:val="32"/>
        </w:rPr>
        <w:t>16、知识产权保护更赋能。</w:t>
      </w:r>
      <w:r>
        <w:rPr>
          <w:rFonts w:hint="eastAsia" w:ascii="仿宋_GB2312" w:hAnsi="仿宋_GB2312" w:eastAsia="仿宋_GB2312" w:cs="仿宋_GB2312"/>
          <w:sz w:val="32"/>
          <w:szCs w:val="32"/>
        </w:rPr>
        <w:t>加强知识产权保护“一件事”集成服务的宣传，为有需求的创新主体提供知识产权保护服务。借力上海市知识产权金融服务联盟，推进知识产权质押融资等金融服务，研究探索知识产权质押融资风险分担补偿机制。搭建沟通联系渠道，借力科创板拟上市企业上海（浦东）知识产权服务站，为有需求的科创板拟上市企业提供“一站式”知识产权服务。按照上海市知识产权局的要求，探索在大数据、人工智能、基因技术等新领域、新业态落实知识产权保护制度。持续推动区级知识产权公共服务体系建设，为中小微企业提供知识产权维权援助、法律援助、代理援助等基础性公共服务。加强海外知识产权纠纷应对、维权援助等指导服务与宣传培训，助力企业“走出去”。</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hAnsi="仿宋_GB2312" w:eastAsia="仿宋_GB2312" w:cs="仿宋_GB2312"/>
          <w:sz w:val="32"/>
          <w:szCs w:val="32"/>
        </w:rPr>
      </w:pPr>
      <w:r>
        <w:rPr>
          <w:rFonts w:hint="eastAsia" w:ascii="仿宋_GB2312" w:eastAsia="仿宋_GB2312"/>
          <w:b/>
          <w:bCs/>
          <w:sz w:val="32"/>
          <w:szCs w:val="32"/>
        </w:rPr>
        <w:t>17、商业纠纷处置更</w:t>
      </w:r>
      <w:r>
        <w:rPr>
          <w:rFonts w:hint="eastAsia" w:ascii="仿宋_GB2312" w:eastAsia="仿宋_GB2312"/>
          <w:b/>
          <w:bCs/>
          <w:sz w:val="32"/>
          <w:szCs w:val="32"/>
          <w:lang w:val="en-US" w:eastAsia="zh-CN"/>
        </w:rPr>
        <w:t>显效</w:t>
      </w:r>
      <w:r>
        <w:rPr>
          <w:rFonts w:hint="eastAsia" w:ascii="仿宋_GB2312" w:eastAsia="仿宋_GB2312"/>
          <w:b/>
          <w:bCs/>
          <w:sz w:val="32"/>
          <w:szCs w:val="32"/>
        </w:rPr>
        <w:t>。</w:t>
      </w:r>
      <w:r>
        <w:rPr>
          <w:rFonts w:hint="eastAsia" w:ascii="仿宋_GB2312" w:hAnsi="仿宋_GB2312" w:eastAsia="仿宋_GB2312" w:cs="仿宋_GB2312"/>
          <w:sz w:val="32"/>
          <w:szCs w:val="32"/>
        </w:rPr>
        <w:t>全面实施全流程网上办案，进一步提升诉讼效率和便利度。优化小额诉讼程序，拓展小额诉讼程序适用范围，推动简易案件及时高效审结。加强涉外商事一站式多元解纷工作，拓展外国法查明、公证认证、翻译等功能，提升涉外商事纠纷化解效能。强化商事审判生效信息即时推送机制、律师在线查询涉案信息机制，提升当事人诉讼便利度。</w:t>
      </w:r>
      <w:r>
        <w:rPr>
          <w:rFonts w:hint="eastAsia" w:ascii="仿宋_GB2312" w:hAnsi="仿宋_GB2312" w:eastAsia="仿宋_GB2312" w:cs="仿宋_GB2312"/>
          <w:sz w:val="32"/>
          <w:szCs w:val="32"/>
          <w:lang w:val="en-US" w:eastAsia="zh-CN"/>
        </w:rPr>
        <w:t>充分发挥司法职能作用，围绕汽车行业开展“司法问诊”零距离服务，制发法治营商指引、行业审判白皮书。</w:t>
      </w:r>
      <w:r>
        <w:rPr>
          <w:rFonts w:hint="eastAsia" w:ascii="仿宋_GB2312" w:hAnsi="仿宋_GB2312" w:eastAsia="仿宋_GB2312" w:cs="仿宋_GB2312"/>
          <w:sz w:val="32"/>
          <w:szCs w:val="32"/>
        </w:rPr>
        <w:t>鼓励支持商事调解组织发展，提升商事纠纷替代性纠纷解决的接受度和办理质效。积极推进解纷“一件事”改革。</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18、法治保障体系更完善。</w:t>
      </w:r>
      <w:r>
        <w:rPr>
          <w:rFonts w:hint="eastAsia" w:ascii="仿宋_GB2312" w:hAnsi="仿宋_GB2312" w:eastAsia="仿宋_GB2312" w:cs="仿宋_GB2312"/>
          <w:sz w:val="32"/>
          <w:szCs w:val="32"/>
        </w:rPr>
        <w:t>完善调解、劳动仲裁、诉讼等有机衔接、相互协调的多元化纠纷解决机制。落实逾期未支付中小企业账款强制披露制度，开展拖欠中小企业账款行为集中治理。完善涉案企业第三方监督评估机制，深化企业合规改革试点。有效整合各方资源力量，加强法治咨询服务、法治宣讲服务、法治体检服务，形成项目化、组团式、互动式的法治服务模式。推动法律服务资源下沉，打造企业身边的法律服务体系，从源头上帮助企业提升合规水平。推进公证利企便民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（五）深入打造活力迸发的创新环境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pPr>
      <w:r>
        <w:rPr>
          <w:rFonts w:hint="eastAsia" w:ascii="仿宋_GB2312" w:eastAsia="仿宋_GB2312"/>
          <w:b/>
          <w:bCs/>
          <w:sz w:val="32"/>
          <w:szCs w:val="32"/>
        </w:rPr>
        <w:t>19、科创服务加快提级。</w:t>
      </w:r>
      <w:r>
        <w:rPr>
          <w:rFonts w:hint="eastAsia" w:ascii="仿宋" w:hAnsi="仿宋" w:eastAsia="仿宋"/>
          <w:sz w:val="32"/>
          <w:szCs w:val="32"/>
        </w:rPr>
        <w:t>线下持续办好“嘉定双创讲堂”，聚焦科技、人才、资本、财税等主题，开展政策惠企、技术对接、交流沙龙等系列活动。线上打造“科创365”新媒体平台，实现科技政策、科技活动、揭榜挂帅、成果转化等一站式科技资源对接服务。鼓励推动重点领域、关键技术协同创新，针对科技企业“卡脖子”技术需求，制定多元化科创服务菜单，建立常态化服务交流、资源对接机制，助推企业加快实现转型升级。聚焦基层科技服务能力建设，加强街镇科技助理、张江园区服务专员培训，打造一支业务精、能力强的人才队伍，进一步充实科创服务力量、提升服务能级。</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eastAsia" w:ascii="仿宋" w:hAnsi="仿宋" w:eastAsia="仿宋"/>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0</w:t>
      </w:r>
      <w:r>
        <w:rPr>
          <w:rFonts w:hint="eastAsia" w:ascii="仿宋_GB2312" w:eastAsia="仿宋_GB2312"/>
          <w:b/>
          <w:bCs/>
          <w:sz w:val="32"/>
          <w:szCs w:val="32"/>
        </w:rPr>
        <w:t>、科技成果加速转化。</w:t>
      </w:r>
      <w:r>
        <w:rPr>
          <w:rFonts w:hint="eastAsia" w:ascii="仿宋" w:hAnsi="仿宋" w:eastAsia="仿宋"/>
          <w:sz w:val="32"/>
          <w:szCs w:val="32"/>
        </w:rPr>
        <w:t>积极探索“揭榜挂帅”创新模式，支持引导科研院所、科技企业加大关键核心技术研发投入，遴选培育优质科技创新项目，加速科技成果转化，激发“双创”活力。开展“链主企业（家）培育工程”，通过硬核项目筛选、关键技术定制、项目并购对接等，匹配联动产业链上下游人才、技术、项目等科技资源，吸引集聚相关创新主体集群集聚发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eastAsia="仿宋_GB2312"/>
          <w:b/>
          <w:bCs/>
          <w:sz w:val="32"/>
          <w:szCs w:val="32"/>
        </w:rPr>
        <w:t>2</w:t>
      </w:r>
      <w:r>
        <w:rPr>
          <w:rFonts w:hint="eastAsia" w:ascii="仿宋_GB2312" w:eastAsia="仿宋_GB2312"/>
          <w:b/>
          <w:bCs/>
          <w:sz w:val="32"/>
          <w:szCs w:val="32"/>
          <w:lang w:val="en-US" w:eastAsia="zh-CN"/>
        </w:rPr>
        <w:t>1</w:t>
      </w:r>
      <w:r>
        <w:rPr>
          <w:rFonts w:hint="eastAsia" w:ascii="仿宋_GB2312" w:eastAsia="仿宋_GB2312"/>
          <w:b/>
          <w:bCs/>
          <w:sz w:val="32"/>
          <w:szCs w:val="32"/>
        </w:rPr>
        <w:t>、人才引进加大力度。</w:t>
      </w:r>
      <w:r>
        <w:rPr>
          <w:rFonts w:hint="eastAsia" w:ascii="仿宋_GB2312" w:eastAsia="仿宋_GB2312"/>
          <w:sz w:val="32"/>
          <w:szCs w:val="32"/>
        </w:rPr>
        <w:t>更新我区人才安居政策，按照“租售并举，以租为主”的总体原则，优化购房货币化补贴、租房补贴和人才公寓等政策的补贴力度和范围，力争“十四五”期间新增两万套人才公寓，更好发挥政策效应。</w:t>
      </w:r>
      <w:r>
        <w:rPr>
          <w:rFonts w:hint="eastAsia" w:ascii="仿宋_GB2312" w:hAnsi="Calibri" w:eastAsia="仿宋_GB2312" w:cs="Times New Roman"/>
          <w:kern w:val="2"/>
          <w:sz w:val="32"/>
          <w:szCs w:val="32"/>
          <w:lang w:val="en-US" w:eastAsia="zh-CN" w:bidi="ar-SA"/>
        </w:rPr>
        <w:t>加强高层次人才引进和服务，开展高层次人才分类认定，推动精英人才服务卡更新升级，赋能人才服务小管家，强化对人才的精准服务，探索开展车联网与人工智能专业人才评价。</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（六）深入打造创新引领的示范高地</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eastAsia" w:ascii="仿宋_GB2312" w:eastAsia="仿宋_GB2312"/>
          <w:b w:val="0"/>
          <w:bCs w:val="0"/>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2</w:t>
      </w:r>
      <w:r>
        <w:rPr>
          <w:rFonts w:hint="eastAsia" w:ascii="仿宋_GB2312" w:eastAsia="仿宋_GB2312"/>
          <w:b/>
          <w:bCs/>
          <w:sz w:val="32"/>
          <w:szCs w:val="32"/>
        </w:rPr>
        <w:t>、打造张江嘉定园科创特色营商环境。</w:t>
      </w:r>
      <w:r>
        <w:rPr>
          <w:rFonts w:hint="eastAsia" w:ascii="仿宋_GB2312" w:eastAsia="仿宋_GB2312"/>
          <w:b w:val="0"/>
          <w:bCs w:val="0"/>
          <w:sz w:val="32"/>
          <w:szCs w:val="32"/>
        </w:rPr>
        <w:t>持续推进校地、院地合作科技园建设，研究出台园区发展总体规划和配套扶持政策、细化行动方案，进一步深化与相关高校院所合作，协同推动同济未来产业科技园、“核创空间”等园区建设，积极培育新能源、新材料、航天通信等未来产业集群。发挥张江嘉定园政策优势，实施“张江之星”“张江示范园”等品牌提升战略，加速引进培育重大创新项目，推动科技企业“金字塔型”梯次培育，持续提升园区服务能力和产业综合实力。支持推动院士专家成果展示与转化中心建设，常态化开展产学研联合创新系列活动，强化院士资源对接、高端学术交流、科技成果转化等市场化服务能力，加快促进科技成果产业化落地。落实外专引进、海外人才个税优惠等张江园区人才特殊政策，进一步强化科技人才服务，放大科技人才引进培育“磁场效应”。</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3</w:t>
      </w:r>
      <w:r>
        <w:rPr>
          <w:rFonts w:hint="eastAsia" w:ascii="仿宋_GB2312" w:eastAsia="仿宋_GB2312"/>
          <w:b/>
          <w:bCs/>
          <w:sz w:val="32"/>
          <w:szCs w:val="32"/>
        </w:rPr>
        <w:t>、打造</w:t>
      </w:r>
      <w:r>
        <w:rPr>
          <w:rFonts w:hint="eastAsia" w:ascii="仿宋_GB2312" w:eastAsia="仿宋_GB2312"/>
          <w:b/>
          <w:bCs/>
          <w:sz w:val="32"/>
          <w:szCs w:val="32"/>
          <w:lang w:val="en-US" w:eastAsia="zh-CN"/>
        </w:rPr>
        <w:t>新城、</w:t>
      </w:r>
      <w:r>
        <w:rPr>
          <w:rFonts w:hint="eastAsia" w:ascii="仿宋_GB2312" w:eastAsia="仿宋_GB2312"/>
          <w:b/>
          <w:bCs/>
          <w:sz w:val="32"/>
          <w:szCs w:val="32"/>
        </w:rPr>
        <w:t>北虹桥</w:t>
      </w:r>
      <w:r>
        <w:rPr>
          <w:rFonts w:hint="eastAsia" w:ascii="仿宋_GB2312" w:eastAsia="仿宋_GB2312"/>
          <w:b/>
          <w:bCs/>
          <w:sz w:val="32"/>
          <w:szCs w:val="32"/>
          <w:lang w:val="en-US" w:eastAsia="zh-CN"/>
        </w:rPr>
        <w:t>双引擎</w:t>
      </w:r>
      <w:r>
        <w:rPr>
          <w:rFonts w:hint="eastAsia" w:ascii="仿宋_GB2312" w:eastAsia="仿宋_GB2312"/>
          <w:b/>
          <w:bCs/>
          <w:sz w:val="32"/>
          <w:szCs w:val="32"/>
        </w:rPr>
        <w:t>特色营商环境。</w:t>
      </w:r>
      <w:r>
        <w:rPr>
          <w:rFonts w:hint="eastAsia" w:ascii="仿宋_GB2312" w:eastAsia="仿宋_GB2312"/>
          <w:b w:val="0"/>
          <w:bCs w:val="0"/>
          <w:sz w:val="32"/>
          <w:szCs w:val="32"/>
        </w:rPr>
        <w:t>创新窗口“智能帮办”+远程“直达帮办”服务模式，拓展“一网通办”自助终端服务功能，实现与实体大厅同质办理体验，推动综合服务向嘉定新城政务服务等场所覆盖延伸。设立为民服务室新城指导站，为企业提供一站式服务。</w:t>
      </w:r>
      <w:r>
        <w:rPr>
          <w:rFonts w:hint="eastAsia" w:ascii="仿宋_GB2312" w:hAnsi="仿宋_GB2312" w:eastAsia="仿宋_GB2312" w:cs="仿宋_GB2312"/>
          <w:sz w:val="32"/>
          <w:szCs w:val="32"/>
        </w:rPr>
        <w:t>抓住进博会契机，积极参与商务区举办的各类活动，助推企业扩大市场、享受进博会红利。加快进口贸易促进创新示范区建设，推动虹桥进口商品展示交易中心等平台建设。支持虹桥国际中央商务区内符合条件的企业通过自由贸易账户开展离岸经贸业务。发挥“上海·嘉定人才港”辐射效应，推进北虹桥分站建设，做好北虹桥人才引进和服务。助力虹桥国际中央商务区建设，支持更多优质律师事务所等法律服务机构入驻北虹桥地区。</w:t>
      </w:r>
    </w:p>
    <w:p>
      <w:pPr>
        <w:pStyle w:val="11"/>
        <w:keepNext w:val="0"/>
        <w:keepLines w:val="0"/>
        <w:pageBreakBefore w:val="0"/>
        <w:widowControl w:val="0"/>
        <w:kinsoku/>
        <w:wordWrap/>
        <w:overflowPunct/>
        <w:topLinePunct w:val="0"/>
        <w:bidi w:val="0"/>
        <w:spacing w:after="0" w:line="60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4</w:t>
      </w:r>
      <w:r>
        <w:rPr>
          <w:rFonts w:hint="eastAsia" w:ascii="仿宋_GB2312" w:eastAsia="仿宋_GB2312"/>
          <w:b/>
          <w:bCs/>
          <w:sz w:val="32"/>
          <w:szCs w:val="32"/>
        </w:rPr>
        <w:t>、推动长三角营商环境高水平建设。</w:t>
      </w:r>
      <w:r>
        <w:rPr>
          <w:rFonts w:hint="eastAsia" w:ascii="仿宋_GB2312" w:eastAsia="仿宋_GB2312"/>
          <w:b w:val="0"/>
          <w:bCs w:val="0"/>
          <w:sz w:val="32"/>
          <w:szCs w:val="32"/>
        </w:rPr>
        <w:t>办好第六届长三角科技成果交易博览会、第二届长三角青年科学家论坛等重大活动，促进城市间科技合作交流和创新链对接，持续放大活动品牌影响力。持续拓展科技双创券平台入库机构、科学仪器等服务资源，探索打造“创新工坊”“虚拟实验室”等资源共享新模式，提升产业链协同创新活力。聚焦新能源汽车使用场景及关键零部件，举办新能源汽车大数据竞赛。</w:t>
      </w:r>
      <w:r>
        <w:rPr>
          <w:rFonts w:hint="eastAsia" w:ascii="仿宋_GB2312" w:hAnsi="仿宋_GB2312" w:eastAsia="仿宋_GB2312" w:cs="仿宋_GB2312"/>
          <w:sz w:val="32"/>
          <w:szCs w:val="32"/>
        </w:rPr>
        <w:t>与长三角部分地区市场监管局等单位形成合力，推动新能源汽车行业质量提升。推动嘉定综合保税区建设，释放政策红利。加快国际赛车保税服务中心建设，促进保税赛车和零配件贸易额增长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上海·嘉定人才港”建设，发挥长三角人力资源服务带动作用。在“嘉昆太”范围内探索开展医保通办项目。深化长三角政务服务“一网通办”，提升服务效能。对区域内生态环境领域严重违法失信主体实施联合惩戒。深化长三角知识产权保护协作发展机制，促进一体化发展。推动长三角网络监管一体化协作，加强市场监管部门信息共享和执法力量联动。配合推进长三角交通运输电子证照互认及核验。</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三、组织保障</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（一）加强协同配合。</w:t>
      </w:r>
      <w:r>
        <w:rPr>
          <w:rFonts w:hint="eastAsia" w:ascii="仿宋_GB2312" w:hAnsi="仿宋_GB2312" w:eastAsia="仿宋_GB2312" w:cs="仿宋_GB2312"/>
          <w:sz w:val="32"/>
          <w:szCs w:val="32"/>
        </w:rPr>
        <w:t>坚持区领导分工牵头、各部门协同推进的跨部门工作机制。落实各街镇、各部门、各单位主要负责同志优化营商环境第一责任制度。进一步加强优化营商环境工作力量配置，形成与“放管服”改革、投资促进、企业服务等工作有机衔接。鼓励各街镇、各部门打造各具特色的亮点工作。加强学习交流，及时复制推广外省市和本市优化营商环境典型案例和经验做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（二）加强督查考核。</w:t>
      </w:r>
      <w:r>
        <w:rPr>
          <w:rFonts w:hint="eastAsia" w:ascii="仿宋_GB2312" w:hAnsi="仿宋_GB2312" w:eastAsia="仿宋_GB2312" w:cs="仿宋_GB2312"/>
          <w:sz w:val="32"/>
          <w:szCs w:val="32"/>
        </w:rPr>
        <w:t>落实营商环境季度工作情况报送和季度例会制度，组织开展优化营商环境工作协同联动监督和专项督查。兼顾指标水平和企业感受、政策落实和工作创新，优化本区营商环境考核评估工作。充分发挥营商环境体验官、监督员、联系点等沟通渠道作用，完善营商环境问题反馈和督办解决闭环机制，提高改革精准度和企业获得感。</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（三）加强宣传推介。</w:t>
      </w:r>
      <w:r>
        <w:rPr>
          <w:rFonts w:hint="eastAsia" w:ascii="仿宋_GB2312" w:hAnsi="仿宋_GB2312" w:eastAsia="仿宋_GB2312" w:cs="仿宋_GB2312"/>
          <w:sz w:val="32"/>
          <w:szCs w:val="32"/>
        </w:rPr>
        <w:t>将营商环境宣传推介纳入全区宣传工作重点。开展政策进园区、进企业等精准宣传推广工作，提高覆盖面和可及性。结合营商环境改革重点，突出政策解读、案例效果、典型事迹等主题宣传活动，提升改革举措的知晓度和认可度。开展区内优化营商环境优秀案例评选及典型案例宣传报道，营造比学赶超浓厚氛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lang w:val="en-US" w:eastAsia="zh-CN" w:bidi="ar-SA"/>
        </w:rPr>
      </w:pPr>
    </w:p>
    <w:p>
      <w:pPr>
        <w:pStyle w:val="6"/>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6"/>
        <w:rPr>
          <w:rFonts w:hAnsi="宋体" w:cs="宋体"/>
          <w:kern w:val="0"/>
          <w:sz w:val="32"/>
          <w:szCs w:val="32"/>
        </w:rPr>
      </w:pPr>
    </w:p>
    <w:p>
      <w:pPr>
        <w:pStyle w:val="6"/>
        <w:ind w:left="0" w:leftChars="0" w:firstLine="0" w:firstLineChars="0"/>
        <w:rPr>
          <w:rFonts w:hAnsi="宋体" w:cs="宋体"/>
          <w:kern w:val="0"/>
          <w:sz w:val="32"/>
          <w:szCs w:val="32"/>
        </w:rPr>
      </w:pPr>
      <w:bookmarkStart w:id="0" w:name="_GoBack"/>
      <w:bookmarkEnd w:id="0"/>
    </w:p>
    <w:p>
      <w:pPr>
        <w:pStyle w:val="6"/>
        <w:ind w:left="0" w:leftChars="0" w:firstLine="0" w:firstLineChars="0"/>
        <w:rPr>
          <w:rFonts w:hAnsi="宋体" w:cs="宋体"/>
          <w:kern w:val="0"/>
          <w:sz w:val="32"/>
          <w:szCs w:val="32"/>
        </w:rPr>
      </w:pPr>
    </w:p>
    <w:p>
      <w:pPr>
        <w:pStyle w:val="6"/>
        <w:ind w:left="0" w:leftChars="0" w:firstLine="0" w:firstLineChars="0"/>
        <w:rPr>
          <w:rFonts w:hAnsi="宋体" w:cs="宋体"/>
          <w:kern w:val="0"/>
          <w:sz w:val="32"/>
          <w:szCs w:val="32"/>
        </w:rPr>
      </w:pPr>
    </w:p>
    <w:p>
      <w:pPr>
        <w:widowControl w:val="0"/>
        <w:spacing w:line="480" w:lineRule="exact"/>
        <w:ind w:firstLine="0" w:firstLineChars="0"/>
        <w:rPr>
          <w:rFonts w:hAnsi="宋体" w:cs="宋体"/>
          <w:kern w:val="0"/>
          <w:szCs w:val="28"/>
        </w:rPr>
      </w:pPr>
    </w:p>
    <w:p>
      <w:pPr>
        <w:widowControl w:val="0"/>
        <w:spacing w:line="480" w:lineRule="exact"/>
        <w:ind w:firstLine="0" w:firstLineChars="0"/>
        <w:rPr>
          <w:rFonts w:hAnsi="宋体" w:cs="宋体"/>
          <w:kern w:val="0"/>
          <w:szCs w:val="28"/>
        </w:rPr>
      </w:pPr>
      <w:r>
        <w:rPr>
          <w:rFonts w:hAnsi="楷体_GB2312" w:cs="Times New Roman"/>
          <w:szCs w:val="28"/>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299720</wp:posOffset>
                </wp:positionV>
                <wp:extent cx="5368290"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36829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25pt;margin-top:23.6pt;height:0.05pt;width:422.7pt;z-index:251665408;mso-width-relative:page;mso-height-relative:page;" filled="f" stroked="t" coordsize="21600,21600" o:gfxdata="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usCstcAAAAIAQAADwAAAAAAAAABACAAAAAiAAAAZHJzL2Rvd25yZXYueG1sUEsBAhQA&#10;FAAAAAgAh07iQJmSIrbzAQAAxAMAAA4AAAAAAAAAAQAgAAAAJgEAAGRycy9lMm9Eb2MueG1sUEsF&#10;BgAAAAAGAAYAWQEAAIsFAAAAAA==&#10;">
                <v:fill on="f" focussize="0,0"/>
                <v:stroke color="#000000" joinstyle="round"/>
                <v:imagedata o:title=""/>
                <o:lock v:ext="edit" aspectratio="f"/>
              </v:line>
            </w:pict>
          </mc:Fallback>
        </mc:AlternateContent>
      </w:r>
    </w:p>
    <w:p>
      <w:pPr>
        <w:widowControl w:val="0"/>
        <w:spacing w:line="480" w:lineRule="exact"/>
        <w:ind w:firstLine="0" w:firstLineChars="0"/>
        <w:rPr>
          <w:szCs w:val="28"/>
        </w:rPr>
      </w:pPr>
      <w:r>
        <w:rPr>
          <w:rFonts w:hAnsi="楷体_GB2312" w:cs="Times New Roman"/>
          <w:szCs w:val="28"/>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339090</wp:posOffset>
                </wp:positionV>
                <wp:extent cx="5372100" cy="635"/>
                <wp:effectExtent l="0" t="0" r="0" b="0"/>
                <wp:wrapNone/>
                <wp:docPr id="1"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9525">
                          <a:solidFill>
                            <a:srgbClr val="000000"/>
                          </a:solidFill>
                          <a:round/>
                        </a:ln>
                        <a:effectLst/>
                      </wps:spPr>
                      <wps:bodyPr/>
                    </wps:wsp>
                  </a:graphicData>
                </a:graphic>
              </wp:anchor>
            </w:drawing>
          </mc:Choice>
          <mc:Fallback>
            <w:pict>
              <v:line id="直接连接符 16" o:spid="_x0000_s1026" o:spt="20" style="position:absolute;left:0pt;flip:y;margin-left:-3.15pt;margin-top:26.7pt;height:0.05pt;width:423pt;z-index:251664384;mso-width-relative:page;mso-height-relative:page;" filled="f" stroked="t" coordsize="21600,21600" o:gfxdata="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hPg01wAAAAgBAAAPAAAAAAAAAAEAIAAAACIAAABkcnMvZG93bnJldi54bWxQSwECFAAU&#10;AAAACACHTuJApQHYw/IBAADFAwAADgAAAAAAAAABACAAAAAmAQAAZHJzL2Uyb0RvYy54bWxQSwUG&#10;AAAAAAYABgBZAQAAigUAAAAA&#10;">
                <v:fill on="f" focussize="0,0"/>
                <v:stroke color="#000000" joinstyle="round"/>
                <v:imagedata o:title=""/>
                <o:lock v:ext="edit" aspectratio="f"/>
              </v:line>
            </w:pict>
          </mc:Fallback>
        </mc:AlternateContent>
      </w:r>
      <w:r>
        <w:rPr>
          <w:rFonts w:hAnsi="楷体_GB2312" w:cs="Times New Roman"/>
          <w:szCs w:val="28"/>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0</wp:posOffset>
                </wp:positionV>
                <wp:extent cx="5368290" cy="635"/>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5368290" cy="635"/>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flip:y;margin-left:-3pt;margin-top:0pt;height:0.05pt;width:422.7pt;z-index:251663360;mso-width-relative:page;mso-height-relative:page;" filled="f" stroked="t" coordsize="21600,21600" o:gfxdata="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dTFUdYAAAAEAQAADwAAAAAAAAABACAAAAAiAAAAZHJzL2Rvd25yZXYueG1sUEsBAhQAFAAA&#10;AAgAh07iQDizSPDxAQAAxgMAAA4AAAAAAAAAAQAgAAAAJQEAAGRycy9lMm9Eb2MueG1sUEsFBgAA&#10;AAAGAAYAWQEAAIgFAAAAAA==&#10;">
                <v:fill on="f" focussize="0,0"/>
                <v:stroke weight="0.5pt" color="#000000" joinstyle="round"/>
                <v:imagedata o:title=""/>
                <o:lock v:ext="edit" aspectratio="f"/>
              </v:line>
            </w:pict>
          </mc:Fallback>
        </mc:AlternateContent>
      </w:r>
      <w:r>
        <w:rPr>
          <w:rFonts w:hAnsi="楷体_GB2312" w:cs="Times New Roman"/>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311140" cy="635"/>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531114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0pt;margin-top:0pt;height:0.05pt;width:418.2pt;z-index:251662336;mso-width-relative:page;mso-height-relative:page;" filled="f" stroked="t" coordsize="21600,21600" o:gfxdata="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iqc7XSAAAAAgEAAA8AAAAAAAAAAQAgAAAAIgAAAGRycy9kb3ducmV2LnhtbFBLAQIUABQAAAAI&#10;AIdO4kD2PxEr8wEAAMYDAAAOAAAAAAAAAAEAIAAAACEBAABkcnMvZTJvRG9jLnhtbFBLBQYAAAAA&#10;BgAGAFkBAACGBQAAAAA=&#10;">
                <v:fill on="f" focussize="0,0"/>
                <v:stroke color="#000000" joinstyle="round"/>
                <v:imagedata o:title=""/>
                <o:lock v:ext="edit" aspectratio="f"/>
              </v:line>
            </w:pict>
          </mc:Fallback>
        </mc:AlternateContent>
      </w:r>
      <w:r>
        <w:rPr>
          <w:rFonts w:hint="eastAsia" w:hAnsi="宋体" w:cs="宋体"/>
          <w:kern w:val="0"/>
          <w:szCs w:val="28"/>
        </w:rPr>
        <w:t xml:space="preserve">上海市嘉定区发展和改革委员会办公室   </w:t>
      </w:r>
      <w:r>
        <w:rPr>
          <w:rFonts w:hAnsi="宋体" w:cs="宋体"/>
          <w:kern w:val="0"/>
          <w:szCs w:val="28"/>
        </w:rPr>
        <w:t xml:space="preserve">  </w:t>
      </w:r>
      <w:r>
        <w:rPr>
          <w:rFonts w:hint="eastAsia" w:hAnsi="宋体" w:cs="宋体"/>
          <w:kern w:val="0"/>
          <w:szCs w:val="28"/>
        </w:rPr>
        <w:t>202</w:t>
      </w:r>
      <w:r>
        <w:rPr>
          <w:rFonts w:hint="eastAsia" w:hAnsi="宋体" w:cs="宋体"/>
          <w:kern w:val="0"/>
          <w:szCs w:val="28"/>
          <w:lang w:val="en-US" w:eastAsia="zh-CN"/>
        </w:rPr>
        <w:t>3</w:t>
      </w:r>
      <w:r>
        <w:rPr>
          <w:rFonts w:hint="eastAsia" w:hAnsi="宋体" w:cs="宋体"/>
          <w:kern w:val="0"/>
          <w:szCs w:val="28"/>
        </w:rPr>
        <w:t>年</w:t>
      </w:r>
      <w:r>
        <w:rPr>
          <w:rFonts w:hint="eastAsia" w:hAnsi="宋体" w:cs="宋体"/>
          <w:kern w:val="0"/>
          <w:szCs w:val="28"/>
          <w:lang w:val="en-US" w:eastAsia="zh-CN"/>
        </w:rPr>
        <w:t>2</w:t>
      </w:r>
      <w:r>
        <w:rPr>
          <w:rFonts w:hint="eastAsia" w:hAnsi="宋体" w:cs="宋体"/>
          <w:kern w:val="0"/>
          <w:szCs w:val="28"/>
        </w:rPr>
        <w:t>月</w:t>
      </w:r>
      <w:r>
        <w:rPr>
          <w:rFonts w:hint="eastAsia" w:hAnsi="宋体" w:cs="宋体"/>
          <w:kern w:val="0"/>
          <w:szCs w:val="28"/>
          <w:lang w:val="en-US" w:eastAsia="zh-CN"/>
        </w:rPr>
        <w:t>24</w:t>
      </w:r>
      <w:r>
        <w:rPr>
          <w:rFonts w:hint="eastAsia" w:hAnsi="宋体" w:cs="宋体"/>
          <w:kern w:val="0"/>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246"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ind w:firstLine="36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560"/>
      <w:rPr>
        <w:rStyle w:val="15"/>
      </w:rPr>
    </w:pPr>
    <w:r>
      <w:rPr>
        <w:rStyle w:val="15"/>
      </w:rPr>
      <w:fldChar w:fldCharType="begin"/>
    </w:r>
    <w:r>
      <w:rPr>
        <w:rStyle w:val="15"/>
      </w:rPr>
      <w:instrText xml:space="preserve">PAGE  </w:instrText>
    </w:r>
    <w:r>
      <w:rPr>
        <w:rStyle w:val="15"/>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wYzVlNDBiOTJhZDc5Nzg3NjI4NDkwM2JmYmM2OTgifQ=="/>
  </w:docVars>
  <w:rsids>
    <w:rsidRoot w:val="0092497C"/>
    <w:rsid w:val="000264FC"/>
    <w:rsid w:val="00032652"/>
    <w:rsid w:val="00081E61"/>
    <w:rsid w:val="000A1B17"/>
    <w:rsid w:val="000A6437"/>
    <w:rsid w:val="000C25D7"/>
    <w:rsid w:val="001560A2"/>
    <w:rsid w:val="00156895"/>
    <w:rsid w:val="001623C4"/>
    <w:rsid w:val="00183659"/>
    <w:rsid w:val="00197FF6"/>
    <w:rsid w:val="001E0446"/>
    <w:rsid w:val="001E34ED"/>
    <w:rsid w:val="001E416A"/>
    <w:rsid w:val="002007F3"/>
    <w:rsid w:val="00205FCE"/>
    <w:rsid w:val="00207615"/>
    <w:rsid w:val="00247E7F"/>
    <w:rsid w:val="002530A9"/>
    <w:rsid w:val="0026239C"/>
    <w:rsid w:val="00285AAE"/>
    <w:rsid w:val="002A0CAE"/>
    <w:rsid w:val="002C4901"/>
    <w:rsid w:val="002E403A"/>
    <w:rsid w:val="002E7073"/>
    <w:rsid w:val="003035D6"/>
    <w:rsid w:val="00324073"/>
    <w:rsid w:val="003476A2"/>
    <w:rsid w:val="0036234E"/>
    <w:rsid w:val="003701AD"/>
    <w:rsid w:val="003A2462"/>
    <w:rsid w:val="003A6142"/>
    <w:rsid w:val="003A77A0"/>
    <w:rsid w:val="003B4643"/>
    <w:rsid w:val="003B585A"/>
    <w:rsid w:val="003B5F0B"/>
    <w:rsid w:val="003C0239"/>
    <w:rsid w:val="003D6E59"/>
    <w:rsid w:val="003E0DAA"/>
    <w:rsid w:val="003E28B8"/>
    <w:rsid w:val="003E5C28"/>
    <w:rsid w:val="003E6BAE"/>
    <w:rsid w:val="004152FA"/>
    <w:rsid w:val="00431C69"/>
    <w:rsid w:val="00432A67"/>
    <w:rsid w:val="00441F07"/>
    <w:rsid w:val="00464FCE"/>
    <w:rsid w:val="00484452"/>
    <w:rsid w:val="00490DB6"/>
    <w:rsid w:val="005042F5"/>
    <w:rsid w:val="00510CD0"/>
    <w:rsid w:val="0052060C"/>
    <w:rsid w:val="00522F46"/>
    <w:rsid w:val="005379F7"/>
    <w:rsid w:val="005532F2"/>
    <w:rsid w:val="0055599B"/>
    <w:rsid w:val="0056142B"/>
    <w:rsid w:val="00562EA6"/>
    <w:rsid w:val="00597B85"/>
    <w:rsid w:val="005B140F"/>
    <w:rsid w:val="005B62AB"/>
    <w:rsid w:val="005C402D"/>
    <w:rsid w:val="005E0B00"/>
    <w:rsid w:val="005E77C1"/>
    <w:rsid w:val="00624D16"/>
    <w:rsid w:val="00630E89"/>
    <w:rsid w:val="00633D58"/>
    <w:rsid w:val="00646F0C"/>
    <w:rsid w:val="006532B0"/>
    <w:rsid w:val="006732CB"/>
    <w:rsid w:val="006744FF"/>
    <w:rsid w:val="006821E0"/>
    <w:rsid w:val="006843B3"/>
    <w:rsid w:val="006849CB"/>
    <w:rsid w:val="00722F6D"/>
    <w:rsid w:val="007252FD"/>
    <w:rsid w:val="0074563B"/>
    <w:rsid w:val="007965AD"/>
    <w:rsid w:val="007C3776"/>
    <w:rsid w:val="0085433D"/>
    <w:rsid w:val="008B7AB3"/>
    <w:rsid w:val="0092497C"/>
    <w:rsid w:val="009611A6"/>
    <w:rsid w:val="009A0A21"/>
    <w:rsid w:val="009A5E72"/>
    <w:rsid w:val="009E304A"/>
    <w:rsid w:val="009E6830"/>
    <w:rsid w:val="009F0AA6"/>
    <w:rsid w:val="009F2A7A"/>
    <w:rsid w:val="009F465C"/>
    <w:rsid w:val="00A1236D"/>
    <w:rsid w:val="00A20982"/>
    <w:rsid w:val="00A21F05"/>
    <w:rsid w:val="00A2632B"/>
    <w:rsid w:val="00A26755"/>
    <w:rsid w:val="00A3537A"/>
    <w:rsid w:val="00A51AED"/>
    <w:rsid w:val="00A567D6"/>
    <w:rsid w:val="00A64960"/>
    <w:rsid w:val="00A84FEC"/>
    <w:rsid w:val="00A95CC9"/>
    <w:rsid w:val="00AB0917"/>
    <w:rsid w:val="00AB2EFF"/>
    <w:rsid w:val="00AC1DBA"/>
    <w:rsid w:val="00AD1491"/>
    <w:rsid w:val="00AD4369"/>
    <w:rsid w:val="00B07D6E"/>
    <w:rsid w:val="00B1082B"/>
    <w:rsid w:val="00B12922"/>
    <w:rsid w:val="00B308FF"/>
    <w:rsid w:val="00B5326E"/>
    <w:rsid w:val="00B55E41"/>
    <w:rsid w:val="00BF73FC"/>
    <w:rsid w:val="00C10C84"/>
    <w:rsid w:val="00C3442E"/>
    <w:rsid w:val="00C42BA4"/>
    <w:rsid w:val="00C44094"/>
    <w:rsid w:val="00C5349F"/>
    <w:rsid w:val="00C65E2D"/>
    <w:rsid w:val="00CA04B9"/>
    <w:rsid w:val="00CC084B"/>
    <w:rsid w:val="00CC650B"/>
    <w:rsid w:val="00CE004B"/>
    <w:rsid w:val="00D32667"/>
    <w:rsid w:val="00D3419A"/>
    <w:rsid w:val="00D53CA8"/>
    <w:rsid w:val="00D80B18"/>
    <w:rsid w:val="00D905B4"/>
    <w:rsid w:val="00D976D6"/>
    <w:rsid w:val="00DB16F1"/>
    <w:rsid w:val="00DB585A"/>
    <w:rsid w:val="00DC4C44"/>
    <w:rsid w:val="00DD6969"/>
    <w:rsid w:val="00DE17AE"/>
    <w:rsid w:val="00DE452C"/>
    <w:rsid w:val="00E224BF"/>
    <w:rsid w:val="00E71E23"/>
    <w:rsid w:val="00E76250"/>
    <w:rsid w:val="00EE5862"/>
    <w:rsid w:val="00F416AB"/>
    <w:rsid w:val="00F70085"/>
    <w:rsid w:val="00F862F2"/>
    <w:rsid w:val="00FA3C3A"/>
    <w:rsid w:val="00FB6610"/>
    <w:rsid w:val="015646D5"/>
    <w:rsid w:val="01EC7074"/>
    <w:rsid w:val="04804E33"/>
    <w:rsid w:val="056763B7"/>
    <w:rsid w:val="05BF3B52"/>
    <w:rsid w:val="06F91C34"/>
    <w:rsid w:val="07046866"/>
    <w:rsid w:val="08E66146"/>
    <w:rsid w:val="0CDE006D"/>
    <w:rsid w:val="0D2833CD"/>
    <w:rsid w:val="0D353B26"/>
    <w:rsid w:val="0DED5218"/>
    <w:rsid w:val="117A5014"/>
    <w:rsid w:val="13515D49"/>
    <w:rsid w:val="13746D9A"/>
    <w:rsid w:val="13767A5D"/>
    <w:rsid w:val="1393672B"/>
    <w:rsid w:val="142B6A9A"/>
    <w:rsid w:val="14C33A62"/>
    <w:rsid w:val="15875D1F"/>
    <w:rsid w:val="1746261C"/>
    <w:rsid w:val="1A1104E0"/>
    <w:rsid w:val="1AC56B29"/>
    <w:rsid w:val="1B876A10"/>
    <w:rsid w:val="1C167E0C"/>
    <w:rsid w:val="1D540E0F"/>
    <w:rsid w:val="1E805C34"/>
    <w:rsid w:val="1EE15A6C"/>
    <w:rsid w:val="20ED7432"/>
    <w:rsid w:val="21AF307B"/>
    <w:rsid w:val="22965A26"/>
    <w:rsid w:val="235C6C70"/>
    <w:rsid w:val="2547125A"/>
    <w:rsid w:val="26600825"/>
    <w:rsid w:val="26DE799C"/>
    <w:rsid w:val="2CD71115"/>
    <w:rsid w:val="2DAF023F"/>
    <w:rsid w:val="2F271D7C"/>
    <w:rsid w:val="3029308C"/>
    <w:rsid w:val="31A85C5B"/>
    <w:rsid w:val="36A94CFE"/>
    <w:rsid w:val="36C463F2"/>
    <w:rsid w:val="3AAE1F71"/>
    <w:rsid w:val="3D2427C1"/>
    <w:rsid w:val="3E040C0A"/>
    <w:rsid w:val="3EBE0387"/>
    <w:rsid w:val="3F1B0B67"/>
    <w:rsid w:val="3F2D3E00"/>
    <w:rsid w:val="418A32C3"/>
    <w:rsid w:val="430A1DED"/>
    <w:rsid w:val="451B0B36"/>
    <w:rsid w:val="45E870EF"/>
    <w:rsid w:val="46E429F4"/>
    <w:rsid w:val="47A55A1B"/>
    <w:rsid w:val="481D761B"/>
    <w:rsid w:val="495E7C73"/>
    <w:rsid w:val="4A8C0235"/>
    <w:rsid w:val="4B321EE0"/>
    <w:rsid w:val="4C2540D4"/>
    <w:rsid w:val="4DCE3A1D"/>
    <w:rsid w:val="4F1F5451"/>
    <w:rsid w:val="50F92C8A"/>
    <w:rsid w:val="51241B8B"/>
    <w:rsid w:val="51366764"/>
    <w:rsid w:val="5161458D"/>
    <w:rsid w:val="51907961"/>
    <w:rsid w:val="5300578B"/>
    <w:rsid w:val="54BC0A6D"/>
    <w:rsid w:val="56521689"/>
    <w:rsid w:val="5D372532"/>
    <w:rsid w:val="5E88176B"/>
    <w:rsid w:val="60EC4488"/>
    <w:rsid w:val="654E5711"/>
    <w:rsid w:val="667D0E0F"/>
    <w:rsid w:val="66BD1EE8"/>
    <w:rsid w:val="67896ED4"/>
    <w:rsid w:val="687D4308"/>
    <w:rsid w:val="6AE93228"/>
    <w:rsid w:val="6AF52D3C"/>
    <w:rsid w:val="6B9561B3"/>
    <w:rsid w:val="6C3C162C"/>
    <w:rsid w:val="6C511490"/>
    <w:rsid w:val="6E900B48"/>
    <w:rsid w:val="6F2E014B"/>
    <w:rsid w:val="6F886897"/>
    <w:rsid w:val="70AF084F"/>
    <w:rsid w:val="736D6430"/>
    <w:rsid w:val="73A664A3"/>
    <w:rsid w:val="75834739"/>
    <w:rsid w:val="766767C2"/>
    <w:rsid w:val="76C515AB"/>
    <w:rsid w:val="76C91965"/>
    <w:rsid w:val="7783749C"/>
    <w:rsid w:val="77C74E70"/>
    <w:rsid w:val="79FC52E4"/>
    <w:rsid w:val="7A3507F6"/>
    <w:rsid w:val="7DC50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eastAsia="仿宋_GB2312" w:hAnsiTheme="minorHAnsi" w:cstheme="minorBidi"/>
      <w:kern w:val="2"/>
      <w:sz w:val="28"/>
      <w:szCs w:val="2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Body Text Indent"/>
    <w:basedOn w:val="1"/>
    <w:unhideWhenUsed/>
    <w:qFormat/>
    <w:uiPriority w:val="99"/>
    <w:pPr>
      <w:tabs>
        <w:tab w:val="left" w:pos="2415"/>
      </w:tabs>
      <w:spacing w:line="580" w:lineRule="exact"/>
      <w:ind w:firstLine="601"/>
    </w:pPr>
    <w:rPr>
      <w:sz w:val="30"/>
    </w:rPr>
  </w:style>
  <w:style w:type="paragraph" w:styleId="6">
    <w:name w:val="Plain Text"/>
    <w:basedOn w:val="1"/>
    <w:semiHidden/>
    <w:unhideWhenUsed/>
    <w:uiPriority w:val="99"/>
    <w:rPr>
      <w:rFonts w:ascii="宋体" w:hAnsi="Courier New"/>
    </w:rPr>
  </w:style>
  <w:style w:type="paragraph" w:styleId="7">
    <w:name w:val="Balloon Text"/>
    <w:basedOn w:val="1"/>
    <w:link w:val="18"/>
    <w:unhideWhenUsed/>
    <w:qFormat/>
    <w:uiPriority w:val="99"/>
    <w:rPr>
      <w:sz w:val="18"/>
      <w:szCs w:val="18"/>
    </w:rPr>
  </w:style>
  <w:style w:type="paragraph" w:styleId="8">
    <w:name w:val="footer"/>
    <w:basedOn w:val="1"/>
    <w:link w:val="16"/>
    <w:qFormat/>
    <w:uiPriority w:val="99"/>
    <w:pPr>
      <w:widowControl w:val="0"/>
      <w:tabs>
        <w:tab w:val="center" w:pos="4153"/>
        <w:tab w:val="right" w:pos="8306"/>
      </w:tabs>
      <w:snapToGrid w:val="0"/>
      <w:ind w:firstLine="0" w:firstLineChars="0"/>
      <w:jc w:val="left"/>
    </w:pPr>
    <w:rPr>
      <w:rFonts w:ascii="Times New Roman" w:hAnsi="Times New Roman" w:eastAsia="宋体" w:cs="Times New Roman"/>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qFormat/>
    <w:uiPriority w:val="0"/>
    <w:pPr>
      <w:ind w:firstLine="420" w:firstLineChars="100"/>
    </w:pPr>
    <w:rPr>
      <w:szCs w:val="22"/>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页脚 字符"/>
    <w:basedOn w:val="13"/>
    <w:link w:val="8"/>
    <w:qFormat/>
    <w:uiPriority w:val="99"/>
    <w:rPr>
      <w:rFonts w:ascii="Times New Roman" w:hAnsi="Times New Roman" w:eastAsia="宋体" w:cs="Times New Roman"/>
      <w:sz w:val="18"/>
      <w:szCs w:val="18"/>
    </w:rPr>
  </w:style>
  <w:style w:type="paragraph" w:customStyle="1" w:styleId="17">
    <w:name w:val="Char Char1 Char Char Char Char Char Char Char"/>
    <w:basedOn w:val="1"/>
    <w:qFormat/>
    <w:uiPriority w:val="0"/>
    <w:pPr>
      <w:widowControl w:val="0"/>
      <w:ind w:firstLine="0" w:firstLineChars="0"/>
    </w:pPr>
    <w:rPr>
      <w:rFonts w:ascii="Tahoma" w:hAnsi="Tahoma" w:eastAsia="宋体" w:cs="Times New Roman"/>
      <w:sz w:val="24"/>
      <w:szCs w:val="20"/>
    </w:rPr>
  </w:style>
  <w:style w:type="character" w:customStyle="1" w:styleId="18">
    <w:name w:val="批注框文本 字符"/>
    <w:basedOn w:val="13"/>
    <w:link w:val="7"/>
    <w:semiHidden/>
    <w:qFormat/>
    <w:uiPriority w:val="99"/>
    <w:rPr>
      <w:sz w:val="18"/>
      <w:szCs w:val="18"/>
    </w:rPr>
  </w:style>
  <w:style w:type="character" w:customStyle="1" w:styleId="19">
    <w:name w:val="页眉 字符"/>
    <w:basedOn w:val="13"/>
    <w:link w:val="9"/>
    <w:qFormat/>
    <w:uiPriority w:val="99"/>
    <w:rPr>
      <w:sz w:val="18"/>
      <w:szCs w:val="18"/>
    </w:rPr>
  </w:style>
  <w:style w:type="character" w:customStyle="1" w:styleId="20">
    <w:name w:val="ql-author-1793348"/>
    <w:basedOn w:val="13"/>
    <w:qFormat/>
    <w:uiPriority w:val="0"/>
  </w:style>
  <w:style w:type="paragraph" w:customStyle="1" w:styleId="21">
    <w:name w:val="ql-long-1793348"/>
    <w:basedOn w:val="1"/>
    <w:qFormat/>
    <w:uiPriority w:val="0"/>
    <w:pPr>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EC55E-1CB7-444A-B173-76A232CF7C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8218</Words>
  <Characters>8270</Characters>
  <Lines>1</Lines>
  <Paragraphs>1</Paragraphs>
  <TotalTime>4</TotalTime>
  <ScaleCrop>false</ScaleCrop>
  <LinksUpToDate>false</LinksUpToDate>
  <CharactersWithSpaces>8275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2020-08-11T06:49:00Z</dcterms:created>
  <dc:creator>HP</dc:creator>
  <cp:lastModifiedBy>hp</cp:lastModifiedBy>
  <cp:lastPrinted>2023-02-24T06:37:00Z</cp:lastPrinted>
  <dcterms:modified xsi:type="dcterms:W3CDTF">2023-02-24T07:25:55Z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829A0EF4D81746839DB7A74BCDED6D79</vt:lpwstr>
  </property>
</Properties>
</file>