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/>
        <w:jc w:val="center"/>
        <w:textAlignment w:val="auto"/>
        <w:outlineLvl w:val="9"/>
        <w:rPr>
          <w:rFonts w:ascii="汉仪细圆B5" w:hAnsi="汉仪细圆B5" w:eastAsia="汉仪细圆B5" w:cs="汉仪细圆B5"/>
          <w:sz w:val="40"/>
          <w:szCs w:val="40"/>
          <w:u w:val="single"/>
        </w:rPr>
      </w:pPr>
      <w:r>
        <w:rPr>
          <w:rFonts w:hint="eastAsia" w:ascii="Times New Roman" w:hAnsi="Times New Roman" w:eastAsia="方正小标宋简体" w:cs="方正小标宋简体"/>
          <w:sz w:val="40"/>
          <w:szCs w:val="40"/>
        </w:rPr>
        <w:t>嘉定区</w:t>
      </w:r>
      <w:r>
        <w:rPr>
          <w:rFonts w:hint="eastAsia" w:ascii="Times New Roman" w:hAnsi="Times New Roman" w:eastAsia="方正小标宋简体" w:cs="方正小标宋简体"/>
          <w:sz w:val="40"/>
          <w:szCs w:val="40"/>
          <w:u w:val="none"/>
          <w:lang w:eastAsia="zh-CN"/>
        </w:rPr>
        <w:t>发展和改革委员会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0"/>
          <w:szCs w:val="40"/>
        </w:rPr>
        <w:t>20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0"/>
          <w:szCs w:val="40"/>
          <w:lang w:val="en-US" w:eastAsia="zh-CN"/>
        </w:rPr>
        <w:t>22</w:t>
      </w:r>
      <w:r>
        <w:rPr>
          <w:rFonts w:hint="eastAsia" w:ascii="Times New Roman" w:hAnsi="Times New Roman" w:eastAsia="方正小标宋简体" w:cs="方正小标宋简体"/>
          <w:sz w:val="40"/>
          <w:szCs w:val="40"/>
        </w:rPr>
        <w:t>年度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Times New Roman" w:hAnsi="Times New Roman" w:eastAsia="方正小标宋简体" w:cs="方正小标宋简体"/>
          <w:sz w:val="40"/>
          <w:szCs w:val="40"/>
        </w:rPr>
      </w:pPr>
      <w:r>
        <w:rPr>
          <w:rFonts w:hint="eastAsia" w:ascii="Times New Roman" w:hAnsi="Times New Roman" w:eastAsia="方正小标宋简体" w:cs="方正小标宋简体"/>
          <w:sz w:val="40"/>
          <w:szCs w:val="40"/>
        </w:rPr>
        <w:t>行政许可实施情况年度报告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根据《中华人民共和国行政许可法》《上海市优化营商环境条例》等有关规定，现将本部门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年行政许可实施情况报告如下：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2022年，嘉定区发展和改革委员会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在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区委、区政府的坚强领导下，在市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发展改革委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业务指导下，持续深化“放管服”改革，严格按照《中华人民共和国行政许可法》贯彻落实具体要求，全面实行行政许可事项清单管理，进一步明晰行政许可权力边界，规范行政许可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权力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运行，持续加强事前事中事后全链条监管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持续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推进行政审批制度改革。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leftChars="0" w:right="0" w:rightChars="0" w:firstLine="645"/>
        <w:jc w:val="both"/>
        <w:textAlignment w:val="auto"/>
        <w:outlineLvl w:val="9"/>
        <w:rPr>
          <w:rFonts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caps w:val="0"/>
          <w:color w:val="000000"/>
          <w:spacing w:val="0"/>
          <w:sz w:val="31"/>
          <w:szCs w:val="31"/>
          <w:shd w:val="clear" w:fill="FFFFFF"/>
        </w:rPr>
        <w:t>二、</w:t>
      </w: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  <w:shd w:val="clear" w:fill="FFFFFF"/>
        </w:rPr>
        <w:t>行政许可办理情况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2022年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区发改委纳入清单管理的行政许可事项共2项，分别为“固定资产投资项目核准”和“固定资产投资项目节能审查”，共涉及6个事项情形，事项均接入上海“一网通办”平台，实施网上办理，办理窗口入驻区行政服务中心办事大厅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2022年度，区发改委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共受理行政许可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205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件，其中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固定资产投资项目核准183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件，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固定资产投资项目节能审查22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件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受理的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许可项目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均实行告知承诺制，进一步“减材料、减环节、减跑动”，便利办事人员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三、批后监管开展情况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（一）开展节能验收监察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根据市发改委有关工作要求，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区发改委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制定了2022年节能验收监察工作方案，对《固定资产投资项目节能审查办法》（国家发展改革委2016年第44号令）实施后履行节能审查手续的项目开展全面节能验收监察工作。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验收监察主要针对已投用未作节能验收的固定资产投资项目，对涉及企业开展约谈，了解项目施工建设、投产使用情况。根据《固定资产投资项目节能审查办法》及《上海市固定资产投资项目节能审查实施办法》要求，开具责令整改通知书，督促相关企业立即整改，提交节能验收申请，完善项目节能验收工作，做好闭环管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在完成项目节能验收监察工作的基础上，根据企业提交的项目节能验收申请，对已履行监管的项目按照规定流程开展节能验收。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对“未批先建”项目开展监管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制定《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嘉定区发展和改革委员会</w:t>
      </w:r>
      <w:r>
        <w:rPr>
          <w:rFonts w:hint="eastAsia" w:ascii="仿宋_GB2312" w:hAnsi="仿宋_GB2312" w:eastAsia="仿宋_GB2312" w:cs="仿宋_GB2312"/>
          <w:sz w:val="32"/>
          <w:szCs w:val="32"/>
        </w:rPr>
        <w:t>固定资产投资项目节能审查事中事后监管实施方案（试行）》，对未按照《上海市固定资产投资项目节能审查实施办法》规定报送节能审查，擅自开工建设的企业固定资产投资项目开展监管，要求相关建设单位限期改造，落实相关节能措施。同时，加强节能审查相关制度及政策的宣传力度，及时督促指导企业提升合法合规意识，严格落实节能审查制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四、改革创新情况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区发改委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积极开展“一网通办”改革提升审批监管效能。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区发改委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“一网通办”平台的行政许可事项已实现“前台综合受理、后台分类审批、统一窗口出件”的综合窗口改革，由行政服务中心的窗口统一受理收件。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五、监督制约情况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进一步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强化法治意识，加强对行政许可行为的内部监督管理，严把许可办理的审查、审批关。同时，注重行政许可办理条件、办理程序和服务质量的监督，全面提升工作效率和服务质量。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2022年区发改委未有企业群众投诉举报，未有行政复议、行政诉讼等情况。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存在的主要问题及改进措施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区发改委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将按照市、区统一部署,持续优化行政许可事项清单管理措施,进一步聚焦重点领域、重大项目等,依法依规优化行政审批的流程，适应改革发展的需要。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同时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继续依托“一网通办”平台进一步完善行政许可事项全流程管理机制，在区审改办的指导下，通过创新政府数字化履职方式持续优化营商环境，便利企业申请各类行政许可事项。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                  嘉定区发展和改革委员会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  2023年3月6日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细圆B5">
    <w:altName w:val="MingLiU"/>
    <w:panose1 w:val="00000000000000000000"/>
    <w:charset w:val="88"/>
    <w:family w:val="auto"/>
    <w:pitch w:val="default"/>
    <w:sig w:usb0="00000000" w:usb1="00000000" w:usb2="00000002" w:usb3="00000000" w:csb0="001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Helvetica">
    <w:altName w:val="Arial"/>
    <w:panose1 w:val="020B0504020202030204"/>
    <w:charset w:val="00"/>
    <w:family w:val="auto"/>
    <w:pitch w:val="default"/>
    <w:sig w:usb0="00000000" w:usb1="00000000" w:usb2="00000000" w:usb3="00000000" w:csb0="00000093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hint="eastAsia" w:ascii="宋体" w:hAnsi="宋体"/>
        <w:sz w:val="24"/>
      </w:rPr>
      <w:fldChar w:fldCharType="begin"/>
    </w:r>
    <w:r>
      <w:rPr>
        <w:rFonts w:hint="eastAsia" w:ascii="宋体" w:hAnsi="宋体"/>
        <w:sz w:val="24"/>
      </w:rPr>
      <w:instrText xml:space="preserve">PAGE   \* MERGEFORMAT</w:instrText>
    </w:r>
    <w:r>
      <w:rPr>
        <w:rFonts w:hint="eastAsia" w:ascii="宋体" w:hAnsi="宋体"/>
        <w:sz w:val="24"/>
      </w:rPr>
      <w:fldChar w:fldCharType="separate"/>
    </w:r>
    <w:r>
      <w:rPr>
        <w:rFonts w:ascii="宋体" w:hAnsi="宋体"/>
        <w:sz w:val="24"/>
        <w:lang w:val="zh-CN"/>
      </w:rPr>
      <w:t>1</w:t>
    </w:r>
    <w:r>
      <w:rPr>
        <w:rFonts w:hint="eastAsia" w:ascii="宋体" w:hAnsi="宋体"/>
        <w:sz w:val="24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003D04"/>
    <w:multiLevelType w:val="singleLevel"/>
    <w:tmpl w:val="64003D04"/>
    <w:lvl w:ilvl="0" w:tentative="0">
      <w:start w:val="6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1NTY0YWNjMjNkOWM1YTA5MTFmOGVlZjE2YWQzNzQifQ=="/>
  </w:docVars>
  <w:rsids>
    <w:rsidRoot w:val="13D3139E"/>
    <w:rsid w:val="000B5C8E"/>
    <w:rsid w:val="003E3E90"/>
    <w:rsid w:val="006C58C3"/>
    <w:rsid w:val="006F3617"/>
    <w:rsid w:val="00870BDF"/>
    <w:rsid w:val="00927A06"/>
    <w:rsid w:val="00A42553"/>
    <w:rsid w:val="00AE5794"/>
    <w:rsid w:val="00B947D4"/>
    <w:rsid w:val="00B95F13"/>
    <w:rsid w:val="00CE651D"/>
    <w:rsid w:val="00F602B8"/>
    <w:rsid w:val="00F65F39"/>
    <w:rsid w:val="07D42FA6"/>
    <w:rsid w:val="087D7B3E"/>
    <w:rsid w:val="0C095DB6"/>
    <w:rsid w:val="0FE443CC"/>
    <w:rsid w:val="13D3139E"/>
    <w:rsid w:val="18815D94"/>
    <w:rsid w:val="1DAC2C7B"/>
    <w:rsid w:val="1E757249"/>
    <w:rsid w:val="210B703E"/>
    <w:rsid w:val="2E3365C8"/>
    <w:rsid w:val="34402759"/>
    <w:rsid w:val="36E51ED1"/>
    <w:rsid w:val="3B542A13"/>
    <w:rsid w:val="403F0047"/>
    <w:rsid w:val="43022A9B"/>
    <w:rsid w:val="45B17A58"/>
    <w:rsid w:val="4F5E540E"/>
    <w:rsid w:val="56CA3790"/>
    <w:rsid w:val="5E775B25"/>
    <w:rsid w:val="6C987715"/>
    <w:rsid w:val="76EA53E2"/>
    <w:rsid w:val="7AF5536A"/>
    <w:rsid w:val="7CA452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98</Words>
  <Characters>559</Characters>
  <Lines>4</Lines>
  <Paragraphs>1</Paragraphs>
  <ScaleCrop>false</ScaleCrop>
  <LinksUpToDate>false</LinksUpToDate>
  <CharactersWithSpaces>656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2022-12-20T00:49:00Z</dcterms:created>
  <dc:creator>gsm</dc:creator>
  <cp:lastModifiedBy>Administrator</cp:lastModifiedBy>
  <cp:lastPrinted>2023-03-06T07:02:00Z</cp:lastPrinted>
  <dcterms:modified xsi:type="dcterms:W3CDTF">2023-03-17T06:39:02Z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9909407A5E9D4FD89575D7B1709430AF</vt:lpwstr>
  </property>
</Properties>
</file>